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D3" w:rsidRPr="006873B2" w:rsidRDefault="002A27B5" w:rsidP="004F09D3">
      <w:pPr>
        <w:spacing w:after="240"/>
        <w:jc w:val="both"/>
        <w:rPr>
          <w:rFonts w:ascii="Arial" w:hAnsi="Arial" w:cs="Arial"/>
          <w:b/>
          <w:bCs/>
          <w:sz w:val="24"/>
          <w:szCs w:val="36"/>
          <w:lang w:eastAsia="es-CL"/>
        </w:rPr>
      </w:pPr>
      <w:r w:rsidRPr="006873B2">
        <w:rPr>
          <w:rFonts w:ascii="Arial" w:hAnsi="Arial" w:cs="Arial"/>
          <w:b/>
          <w:bCs/>
          <w:sz w:val="24"/>
          <w:szCs w:val="36"/>
          <w:lang w:eastAsia="es-CL"/>
        </w:rPr>
        <w:t>Durante</w:t>
      </w:r>
      <w:r w:rsidR="004B1C25" w:rsidRPr="006873B2">
        <w:rPr>
          <w:rFonts w:ascii="Arial" w:hAnsi="Arial" w:cs="Arial"/>
          <w:b/>
          <w:bCs/>
          <w:sz w:val="24"/>
          <w:szCs w:val="36"/>
          <w:lang w:eastAsia="es-CL"/>
        </w:rPr>
        <w:t xml:space="preserve"> primer </w:t>
      </w:r>
      <w:r w:rsidR="00A761DD" w:rsidRPr="006873B2">
        <w:rPr>
          <w:rFonts w:ascii="Arial" w:hAnsi="Arial" w:cs="Arial"/>
          <w:b/>
          <w:bCs/>
          <w:sz w:val="24"/>
          <w:szCs w:val="36"/>
          <w:lang w:eastAsia="es-CL"/>
        </w:rPr>
        <w:t xml:space="preserve">semestre </w:t>
      </w:r>
      <w:r w:rsidR="007A1A64" w:rsidRPr="006873B2">
        <w:rPr>
          <w:rFonts w:ascii="Arial" w:hAnsi="Arial" w:cs="Arial"/>
          <w:b/>
          <w:bCs/>
          <w:sz w:val="24"/>
          <w:szCs w:val="36"/>
          <w:lang w:eastAsia="es-CL"/>
        </w:rPr>
        <w:t>de</w:t>
      </w:r>
      <w:r w:rsidRPr="006873B2">
        <w:rPr>
          <w:rFonts w:ascii="Arial" w:hAnsi="Arial" w:cs="Arial"/>
          <w:b/>
          <w:bCs/>
          <w:sz w:val="24"/>
          <w:szCs w:val="36"/>
          <w:lang w:eastAsia="es-CL"/>
        </w:rPr>
        <w:t>l año</w:t>
      </w:r>
      <w:r w:rsidR="004B1C25" w:rsidRPr="006873B2">
        <w:rPr>
          <w:rFonts w:ascii="Arial" w:hAnsi="Arial" w:cs="Arial"/>
          <w:b/>
          <w:bCs/>
          <w:sz w:val="24"/>
          <w:szCs w:val="36"/>
          <w:lang w:eastAsia="es-CL"/>
        </w:rPr>
        <w:t>:</w:t>
      </w:r>
    </w:p>
    <w:p w:rsidR="00B402A6" w:rsidRPr="00B402A6" w:rsidRDefault="006E1D87" w:rsidP="00B402A6">
      <w:pPr>
        <w:pStyle w:val="Sinespaciado"/>
        <w:jc w:val="center"/>
        <w:rPr>
          <w:rFonts w:ascii="Arial" w:hAnsi="Arial" w:cs="Arial"/>
          <w:b/>
          <w:sz w:val="32"/>
          <w:szCs w:val="32"/>
          <w:lang w:eastAsia="es-CL"/>
        </w:rPr>
      </w:pPr>
      <w:r w:rsidRPr="00B402A6">
        <w:rPr>
          <w:rFonts w:ascii="Arial" w:hAnsi="Arial" w:cs="Arial"/>
          <w:b/>
          <w:sz w:val="32"/>
          <w:szCs w:val="32"/>
          <w:lang w:eastAsia="es-CL"/>
        </w:rPr>
        <w:t xml:space="preserve">Codelco </w:t>
      </w:r>
      <w:r w:rsidR="00B402A6" w:rsidRPr="00B402A6">
        <w:rPr>
          <w:rFonts w:ascii="Arial" w:hAnsi="Arial" w:cs="Arial"/>
          <w:b/>
          <w:sz w:val="32"/>
          <w:szCs w:val="32"/>
          <w:lang w:eastAsia="es-CL"/>
        </w:rPr>
        <w:t>produce más y con menores</w:t>
      </w:r>
    </w:p>
    <w:p w:rsidR="002A27B5" w:rsidRPr="00B402A6" w:rsidRDefault="00B402A6" w:rsidP="00B402A6">
      <w:pPr>
        <w:pStyle w:val="Sinespaciado"/>
        <w:jc w:val="center"/>
        <w:rPr>
          <w:rFonts w:ascii="Arial" w:hAnsi="Arial" w:cs="Arial"/>
          <w:b/>
          <w:sz w:val="32"/>
          <w:szCs w:val="32"/>
          <w:lang w:eastAsia="es-CL"/>
        </w:rPr>
      </w:pPr>
      <w:proofErr w:type="gramStart"/>
      <w:r w:rsidRPr="00B402A6">
        <w:rPr>
          <w:rFonts w:ascii="Arial" w:hAnsi="Arial" w:cs="Arial"/>
          <w:b/>
          <w:sz w:val="32"/>
          <w:szCs w:val="32"/>
          <w:lang w:eastAsia="es-CL"/>
        </w:rPr>
        <w:t>costos</w:t>
      </w:r>
      <w:proofErr w:type="gramEnd"/>
      <w:r w:rsidRPr="00B402A6">
        <w:rPr>
          <w:rFonts w:ascii="Arial" w:hAnsi="Arial" w:cs="Arial"/>
          <w:b/>
          <w:sz w:val="32"/>
          <w:szCs w:val="32"/>
          <w:lang w:eastAsia="es-CL"/>
        </w:rPr>
        <w:t xml:space="preserve"> directos que en 2013</w:t>
      </w:r>
    </w:p>
    <w:p w:rsidR="008A5443" w:rsidRDefault="008A5443" w:rsidP="008A5443">
      <w:pPr>
        <w:pStyle w:val="Prrafodelista"/>
        <w:numPr>
          <w:ilvl w:val="0"/>
          <w:numId w:val="6"/>
        </w:numPr>
        <w:spacing w:before="120" w:after="120"/>
        <w:ind w:left="714" w:hanging="357"/>
        <w:jc w:val="both"/>
        <w:rPr>
          <w:rFonts w:ascii="Arial" w:hAnsi="Arial" w:cs="Arial"/>
          <w:b/>
          <w:bCs/>
          <w:lang w:val="es-CL" w:eastAsia="es-CL"/>
        </w:rPr>
      </w:pPr>
      <w:r w:rsidRPr="008A5443">
        <w:rPr>
          <w:rFonts w:ascii="Arial" w:hAnsi="Arial" w:cs="Arial"/>
          <w:b/>
          <w:bCs/>
          <w:lang w:val="es-CL" w:eastAsia="es-CL"/>
        </w:rPr>
        <w:t xml:space="preserve">La producción total de </w:t>
      </w:r>
      <w:r w:rsidR="00302D1C">
        <w:rPr>
          <w:rFonts w:ascii="Arial" w:hAnsi="Arial" w:cs="Arial"/>
          <w:b/>
          <w:bCs/>
          <w:lang w:val="es-CL" w:eastAsia="es-CL"/>
        </w:rPr>
        <w:t>la empresa</w:t>
      </w:r>
      <w:r w:rsidRPr="008A5443">
        <w:rPr>
          <w:rFonts w:ascii="Arial" w:hAnsi="Arial" w:cs="Arial"/>
          <w:b/>
          <w:bCs/>
          <w:lang w:val="es-CL" w:eastAsia="es-CL"/>
        </w:rPr>
        <w:t xml:space="preserve">, que incluye su participación en El Abra (49%) y Anglo American (20%), se incrementó a 877 mil toneladas de cobre fino. Asimismo, la </w:t>
      </w:r>
      <w:r w:rsidR="00484DC7">
        <w:rPr>
          <w:rFonts w:ascii="Arial" w:hAnsi="Arial" w:cs="Arial"/>
          <w:b/>
          <w:bCs/>
          <w:lang w:val="es-CL" w:eastAsia="es-CL"/>
        </w:rPr>
        <w:t>producción</w:t>
      </w:r>
      <w:r w:rsidRPr="008A5443">
        <w:rPr>
          <w:rFonts w:ascii="Arial" w:hAnsi="Arial" w:cs="Arial"/>
          <w:b/>
          <w:bCs/>
          <w:lang w:val="es-CL" w:eastAsia="es-CL"/>
        </w:rPr>
        <w:t xml:space="preserve"> de plata aumentó en 35%, la de molibdeno en </w:t>
      </w:r>
      <w:r w:rsidR="00F5091B">
        <w:rPr>
          <w:rFonts w:ascii="Arial" w:hAnsi="Arial" w:cs="Arial"/>
          <w:b/>
          <w:bCs/>
          <w:lang w:val="es-CL" w:eastAsia="es-CL"/>
        </w:rPr>
        <w:t>4</w:t>
      </w:r>
      <w:r w:rsidR="005353DA">
        <w:rPr>
          <w:rFonts w:ascii="Arial" w:hAnsi="Arial" w:cs="Arial"/>
          <w:b/>
          <w:bCs/>
          <w:lang w:val="es-CL" w:eastAsia="es-CL"/>
        </w:rPr>
        <w:t>1% y la de oro en 6</w:t>
      </w:r>
      <w:r w:rsidRPr="008A5443">
        <w:rPr>
          <w:rFonts w:ascii="Arial" w:hAnsi="Arial" w:cs="Arial"/>
          <w:b/>
          <w:bCs/>
          <w:lang w:val="es-CL" w:eastAsia="es-CL"/>
        </w:rPr>
        <w:t xml:space="preserve">%. </w:t>
      </w:r>
      <w:r w:rsidR="00E82EF0">
        <w:rPr>
          <w:rFonts w:ascii="Arial" w:hAnsi="Arial" w:cs="Arial"/>
          <w:b/>
          <w:bCs/>
          <w:lang w:val="es-CL" w:eastAsia="es-CL"/>
        </w:rPr>
        <w:t xml:space="preserve"> Por su parte, </w:t>
      </w:r>
      <w:r w:rsidR="00760322">
        <w:rPr>
          <w:rFonts w:ascii="Arial" w:hAnsi="Arial" w:cs="Arial"/>
          <w:b/>
          <w:bCs/>
          <w:lang w:val="es-CL" w:eastAsia="es-CL"/>
        </w:rPr>
        <w:t xml:space="preserve">el costo directo </w:t>
      </w:r>
      <w:r w:rsidR="00E82EF0">
        <w:rPr>
          <w:rFonts w:ascii="Arial" w:hAnsi="Arial" w:cs="Arial"/>
          <w:b/>
          <w:bCs/>
          <w:lang w:val="es-CL" w:eastAsia="es-CL"/>
        </w:rPr>
        <w:t>disminuyó 7,7% en estos primeros 6 meses del año</w:t>
      </w:r>
      <w:r w:rsidR="00760322">
        <w:rPr>
          <w:rFonts w:ascii="Arial" w:hAnsi="Arial" w:cs="Arial"/>
          <w:b/>
          <w:bCs/>
          <w:lang w:val="es-CL" w:eastAsia="es-CL"/>
        </w:rPr>
        <w:t xml:space="preserve">. </w:t>
      </w:r>
    </w:p>
    <w:p w:rsidR="008A5443" w:rsidRDefault="008A5443" w:rsidP="008A5443">
      <w:pPr>
        <w:pStyle w:val="Prrafodelista"/>
        <w:spacing w:before="120" w:after="120"/>
        <w:ind w:left="714"/>
        <w:jc w:val="both"/>
        <w:rPr>
          <w:rFonts w:ascii="Arial" w:hAnsi="Arial" w:cs="Arial"/>
          <w:b/>
          <w:bCs/>
          <w:lang w:val="es-CL" w:eastAsia="es-CL"/>
        </w:rPr>
      </w:pPr>
    </w:p>
    <w:p w:rsidR="00E828ED" w:rsidRPr="008A5443" w:rsidRDefault="00E82EF0" w:rsidP="008A5443">
      <w:pPr>
        <w:pStyle w:val="Prrafodelista"/>
        <w:numPr>
          <w:ilvl w:val="0"/>
          <w:numId w:val="6"/>
        </w:numPr>
        <w:spacing w:before="120" w:after="120"/>
        <w:ind w:left="714" w:hanging="357"/>
        <w:jc w:val="both"/>
        <w:rPr>
          <w:rFonts w:ascii="Arial" w:hAnsi="Arial" w:cs="Arial"/>
          <w:b/>
          <w:bCs/>
          <w:lang w:val="es-CL" w:eastAsia="es-CL"/>
        </w:rPr>
      </w:pPr>
      <w:r>
        <w:rPr>
          <w:rFonts w:ascii="Arial" w:hAnsi="Arial" w:cs="Arial"/>
          <w:b/>
          <w:bCs/>
          <w:lang w:val="es-CL" w:eastAsia="es-CL"/>
        </w:rPr>
        <w:t>Sin embargo, e</w:t>
      </w:r>
      <w:r w:rsidR="00586861" w:rsidRPr="008A5443">
        <w:rPr>
          <w:rFonts w:ascii="Arial" w:hAnsi="Arial" w:cs="Arial"/>
          <w:b/>
          <w:bCs/>
          <w:lang w:val="es-CL" w:eastAsia="es-CL"/>
        </w:rPr>
        <w:t xml:space="preserve">l menor precio del cobre y de </w:t>
      </w:r>
      <w:r>
        <w:rPr>
          <w:rFonts w:ascii="Arial" w:hAnsi="Arial" w:cs="Arial"/>
          <w:b/>
          <w:bCs/>
          <w:lang w:val="es-CL" w:eastAsia="es-CL"/>
        </w:rPr>
        <w:t>la mayoría de los</w:t>
      </w:r>
      <w:r w:rsidR="008A5443">
        <w:rPr>
          <w:rFonts w:ascii="Arial" w:hAnsi="Arial" w:cs="Arial"/>
          <w:b/>
          <w:bCs/>
          <w:lang w:val="es-CL" w:eastAsia="es-CL"/>
        </w:rPr>
        <w:t xml:space="preserve"> productos que vende la empresa</w:t>
      </w:r>
      <w:r>
        <w:rPr>
          <w:rFonts w:ascii="Arial" w:hAnsi="Arial" w:cs="Arial"/>
          <w:b/>
          <w:bCs/>
          <w:lang w:val="es-CL" w:eastAsia="es-CL"/>
        </w:rPr>
        <w:t>,</w:t>
      </w:r>
      <w:r w:rsidR="008A5443">
        <w:rPr>
          <w:rFonts w:ascii="Arial" w:hAnsi="Arial" w:cs="Arial"/>
          <w:b/>
          <w:bCs/>
          <w:lang w:val="es-CL" w:eastAsia="es-CL"/>
        </w:rPr>
        <w:t xml:space="preserve"> </w:t>
      </w:r>
      <w:r w:rsidR="00C016E7">
        <w:rPr>
          <w:rFonts w:ascii="Arial" w:hAnsi="Arial" w:cs="Arial"/>
          <w:b/>
          <w:bCs/>
          <w:lang w:val="es-CL" w:eastAsia="es-CL"/>
        </w:rPr>
        <w:t>se tra</w:t>
      </w:r>
      <w:r w:rsidR="00302D1C">
        <w:rPr>
          <w:rFonts w:ascii="Arial" w:hAnsi="Arial" w:cs="Arial"/>
          <w:b/>
          <w:bCs/>
          <w:lang w:val="es-CL" w:eastAsia="es-CL"/>
        </w:rPr>
        <w:t>du</w:t>
      </w:r>
      <w:r w:rsidR="00C016E7">
        <w:rPr>
          <w:rFonts w:ascii="Arial" w:hAnsi="Arial" w:cs="Arial"/>
          <w:b/>
          <w:bCs/>
          <w:lang w:val="es-CL" w:eastAsia="es-CL"/>
        </w:rPr>
        <w:t>j</w:t>
      </w:r>
      <w:r>
        <w:rPr>
          <w:rFonts w:ascii="Arial" w:hAnsi="Arial" w:cs="Arial"/>
          <w:b/>
          <w:bCs/>
          <w:lang w:val="es-CL" w:eastAsia="es-CL"/>
        </w:rPr>
        <w:t>o</w:t>
      </w:r>
      <w:r w:rsidR="00C016E7">
        <w:rPr>
          <w:rFonts w:ascii="Arial" w:hAnsi="Arial" w:cs="Arial"/>
          <w:b/>
          <w:bCs/>
          <w:lang w:val="es-CL" w:eastAsia="es-CL"/>
        </w:rPr>
        <w:t xml:space="preserve"> en menores </w:t>
      </w:r>
      <w:r w:rsidR="008A5443">
        <w:rPr>
          <w:rFonts w:ascii="Arial" w:hAnsi="Arial" w:cs="Arial"/>
          <w:b/>
          <w:bCs/>
          <w:lang w:val="es-CL" w:eastAsia="es-CL"/>
        </w:rPr>
        <w:t>e</w:t>
      </w:r>
      <w:r w:rsidR="00586861" w:rsidRPr="008A5443">
        <w:rPr>
          <w:rFonts w:ascii="Arial" w:hAnsi="Arial" w:cs="Arial"/>
          <w:b/>
          <w:bCs/>
          <w:lang w:val="es-CL" w:eastAsia="es-CL"/>
        </w:rPr>
        <w:t>xcedente</w:t>
      </w:r>
      <w:r w:rsidR="00E828ED" w:rsidRPr="008A5443">
        <w:rPr>
          <w:rFonts w:ascii="Arial" w:hAnsi="Arial" w:cs="Arial"/>
          <w:b/>
          <w:bCs/>
          <w:lang w:val="es-CL" w:eastAsia="es-CL"/>
        </w:rPr>
        <w:t>s</w:t>
      </w:r>
      <w:r>
        <w:rPr>
          <w:rFonts w:ascii="Arial" w:hAnsi="Arial" w:cs="Arial"/>
          <w:b/>
          <w:bCs/>
          <w:lang w:val="es-CL" w:eastAsia="es-CL"/>
        </w:rPr>
        <w:t xml:space="preserve"> en comparación con 2013</w:t>
      </w:r>
      <w:r w:rsidR="00C016E7">
        <w:rPr>
          <w:rFonts w:ascii="Arial" w:hAnsi="Arial" w:cs="Arial"/>
          <w:b/>
          <w:bCs/>
          <w:lang w:val="es-CL" w:eastAsia="es-CL"/>
        </w:rPr>
        <w:t>,</w:t>
      </w:r>
      <w:r w:rsidR="005353DA">
        <w:rPr>
          <w:rFonts w:ascii="Arial" w:hAnsi="Arial" w:cs="Arial"/>
          <w:b/>
          <w:bCs/>
          <w:lang w:val="es-CL" w:eastAsia="es-CL"/>
        </w:rPr>
        <w:t xml:space="preserve"> los que </w:t>
      </w:r>
      <w:r w:rsidR="00E828ED" w:rsidRPr="008A5443">
        <w:rPr>
          <w:rFonts w:ascii="Arial" w:hAnsi="Arial" w:cs="Arial"/>
          <w:b/>
          <w:bCs/>
          <w:lang w:val="es-CL" w:eastAsia="es-CL"/>
        </w:rPr>
        <w:t xml:space="preserve">llegaron a US$ 1.310 millones. </w:t>
      </w:r>
    </w:p>
    <w:p w:rsidR="00586861" w:rsidRPr="006873B2" w:rsidRDefault="00586861" w:rsidP="00E828ED">
      <w:pPr>
        <w:pStyle w:val="Prrafodelista"/>
        <w:spacing w:before="120" w:after="120"/>
        <w:ind w:left="714"/>
        <w:jc w:val="both"/>
        <w:rPr>
          <w:rFonts w:ascii="Arial" w:hAnsi="Arial" w:cs="Arial"/>
          <w:b/>
          <w:bCs/>
          <w:lang w:val="es-CL" w:eastAsia="es-CL"/>
        </w:rPr>
      </w:pPr>
    </w:p>
    <w:p w:rsidR="00E50F00" w:rsidRDefault="000E22C7" w:rsidP="00E50F00">
      <w:pPr>
        <w:spacing w:after="120"/>
        <w:jc w:val="both"/>
        <w:rPr>
          <w:rFonts w:ascii="Arial" w:hAnsi="Arial" w:cs="Arial"/>
          <w:sz w:val="24"/>
          <w:szCs w:val="24"/>
          <w:lang w:eastAsia="es-CL"/>
        </w:rPr>
      </w:pPr>
      <w:r w:rsidRPr="006873B2">
        <w:rPr>
          <w:rFonts w:ascii="Arial" w:hAnsi="Arial" w:cs="Arial"/>
          <w:b/>
          <w:sz w:val="24"/>
          <w:szCs w:val="24"/>
          <w:lang w:eastAsia="es-CL"/>
        </w:rPr>
        <w:t xml:space="preserve">Santiago, </w:t>
      </w:r>
      <w:r w:rsidR="005A10C9">
        <w:rPr>
          <w:rFonts w:ascii="Arial" w:hAnsi="Arial" w:cs="Arial"/>
          <w:b/>
          <w:sz w:val="24"/>
          <w:szCs w:val="24"/>
          <w:lang w:eastAsia="es-CL"/>
        </w:rPr>
        <w:t xml:space="preserve">29 de agosto </w:t>
      </w:r>
      <w:bookmarkStart w:id="0" w:name="_GoBack"/>
      <w:bookmarkEnd w:id="0"/>
      <w:r w:rsidRPr="006873B2">
        <w:rPr>
          <w:rFonts w:ascii="Arial" w:hAnsi="Arial" w:cs="Arial"/>
          <w:b/>
          <w:sz w:val="24"/>
          <w:szCs w:val="24"/>
          <w:lang w:eastAsia="es-CL"/>
        </w:rPr>
        <w:t>de 201</w:t>
      </w:r>
      <w:r w:rsidR="005E7783" w:rsidRPr="006873B2">
        <w:rPr>
          <w:rFonts w:ascii="Arial" w:hAnsi="Arial" w:cs="Arial"/>
          <w:b/>
          <w:sz w:val="24"/>
          <w:szCs w:val="24"/>
          <w:lang w:eastAsia="es-CL"/>
        </w:rPr>
        <w:t>4</w:t>
      </w:r>
      <w:r w:rsidR="00832B56" w:rsidRPr="006873B2">
        <w:rPr>
          <w:rFonts w:ascii="Arial" w:hAnsi="Arial" w:cs="Arial"/>
          <w:b/>
          <w:sz w:val="24"/>
          <w:szCs w:val="24"/>
          <w:lang w:eastAsia="es-CL"/>
        </w:rPr>
        <w:t>.-</w:t>
      </w:r>
      <w:r w:rsidR="00832B56" w:rsidRPr="006873B2">
        <w:rPr>
          <w:rFonts w:ascii="Arial" w:hAnsi="Arial" w:cs="Arial"/>
          <w:sz w:val="24"/>
          <w:szCs w:val="24"/>
          <w:lang w:eastAsia="es-CL"/>
        </w:rPr>
        <w:t xml:space="preserve"> </w:t>
      </w:r>
      <w:r w:rsidR="00E50F00" w:rsidRPr="00E50F00">
        <w:rPr>
          <w:rFonts w:ascii="Arial" w:hAnsi="Arial" w:cs="Arial"/>
          <w:sz w:val="24"/>
          <w:szCs w:val="24"/>
          <w:lang w:eastAsia="es-CL"/>
        </w:rPr>
        <w:t>En 7,7% disminuyó el costo directo (C1) de Codelco durante los primeros seis meses de 2014, comparado con el año anterior. Esto permitió que la empresa compensara en parte los efectos negativos del menor valor del cobre y de la mayoría de los productos que comercializa</w:t>
      </w:r>
      <w:r w:rsidR="00760322">
        <w:rPr>
          <w:rFonts w:ascii="Arial" w:hAnsi="Arial" w:cs="Arial"/>
          <w:sz w:val="24"/>
          <w:szCs w:val="24"/>
          <w:lang w:eastAsia="es-CL"/>
        </w:rPr>
        <w:t>.</w:t>
      </w:r>
    </w:p>
    <w:p w:rsidR="00E50F00" w:rsidRDefault="00E82EF0" w:rsidP="00E50F00">
      <w:pPr>
        <w:spacing w:after="120"/>
        <w:jc w:val="both"/>
        <w:rPr>
          <w:rFonts w:ascii="Arial" w:hAnsi="Arial" w:cs="Arial"/>
          <w:sz w:val="24"/>
          <w:szCs w:val="24"/>
          <w:lang w:eastAsia="es-CL"/>
        </w:rPr>
      </w:pPr>
      <w:r w:rsidRPr="00E82EF0">
        <w:rPr>
          <w:rFonts w:ascii="Arial" w:hAnsi="Arial" w:cs="Arial"/>
          <w:sz w:val="24"/>
          <w:szCs w:val="24"/>
          <w:lang w:eastAsia="es-CL"/>
        </w:rPr>
        <w:t>Entre enero y junio de 2014, el precio promedio del cobre alcanzó a 313,7 centavos por libra, un 8% menos que en el mismo período de 2013. El menor precio del cobre explicó menores ingresos por US$ 478 millones, lo que se suma a los efectos de los menores valores del oro (-15%), plata (-25%) y ácido sulfúrico (-18%). El único producto que mostró una variación positiva fue el molibdeno, que aumentó su cotización en 6%.</w:t>
      </w:r>
    </w:p>
    <w:p w:rsidR="00E50F00" w:rsidRDefault="00E50F00" w:rsidP="00E50F00">
      <w:pPr>
        <w:spacing w:after="120"/>
        <w:jc w:val="both"/>
        <w:rPr>
          <w:rFonts w:ascii="Arial" w:hAnsi="Arial" w:cs="Arial"/>
          <w:sz w:val="24"/>
          <w:szCs w:val="24"/>
          <w:lang w:eastAsia="es-CL"/>
        </w:rPr>
      </w:pPr>
      <w:r>
        <w:rPr>
          <w:rFonts w:ascii="Arial" w:hAnsi="Arial" w:cs="Arial"/>
          <w:sz w:val="24"/>
          <w:szCs w:val="24"/>
          <w:lang w:eastAsia="es-CL"/>
        </w:rPr>
        <w:t xml:space="preserve">Por esta razón, </w:t>
      </w:r>
      <w:r w:rsidRPr="00E50F00">
        <w:rPr>
          <w:rFonts w:ascii="Arial" w:hAnsi="Arial" w:cs="Arial"/>
          <w:sz w:val="24"/>
          <w:szCs w:val="24"/>
          <w:lang w:eastAsia="es-CL"/>
        </w:rPr>
        <w:t>Codelco alcanzó excedentes por US$ 1.310 millones durante los seis primeros meses de 2014, US$ 496 millones menos (27%) que el año anterior, cuando logró US$ 1.806 millones. La ganancia comparable -que se calcula aplicando el mismo régimen tributario que a las compañías privadas- alcanzó a US$ 1.050 millones.</w:t>
      </w:r>
    </w:p>
    <w:p w:rsidR="00E50F00" w:rsidRPr="00E50F00" w:rsidRDefault="00E50F00" w:rsidP="00E50F00">
      <w:pPr>
        <w:spacing w:after="120"/>
        <w:jc w:val="both"/>
        <w:rPr>
          <w:rFonts w:ascii="Arial" w:hAnsi="Arial" w:cs="Arial"/>
          <w:sz w:val="24"/>
          <w:szCs w:val="24"/>
          <w:lang w:eastAsia="es-CL"/>
        </w:rPr>
      </w:pPr>
      <w:r w:rsidRPr="00E50F00">
        <w:rPr>
          <w:rFonts w:ascii="Arial" w:hAnsi="Arial" w:cs="Arial"/>
          <w:sz w:val="24"/>
          <w:szCs w:val="24"/>
          <w:lang w:eastAsia="es-CL"/>
        </w:rPr>
        <w:t>“</w:t>
      </w:r>
      <w:r>
        <w:rPr>
          <w:rFonts w:ascii="Arial" w:hAnsi="Arial" w:cs="Arial"/>
          <w:sz w:val="24"/>
          <w:szCs w:val="24"/>
          <w:lang w:eastAsia="es-CL"/>
        </w:rPr>
        <w:t xml:space="preserve">El efecto de los menores precios explica la baja en los resultados de la empresa. </w:t>
      </w:r>
      <w:r w:rsidRPr="00E50F00">
        <w:rPr>
          <w:rFonts w:ascii="Arial" w:hAnsi="Arial" w:cs="Arial"/>
          <w:sz w:val="24"/>
          <w:szCs w:val="24"/>
          <w:lang w:eastAsia="es-CL"/>
        </w:rPr>
        <w:t xml:space="preserve">Con todo, seguimos con precios y excedentes superiores al promedio de la historia de Codelco. Son resultados menores a los de años anteriores, pero todavía buenos si tenemos una mirada de largo plazo”, afirmó </w:t>
      </w:r>
      <w:r w:rsidR="00892E2D">
        <w:rPr>
          <w:rFonts w:ascii="Arial" w:hAnsi="Arial" w:cs="Arial"/>
          <w:sz w:val="24"/>
          <w:szCs w:val="24"/>
          <w:lang w:eastAsia="es-CL"/>
        </w:rPr>
        <w:t xml:space="preserve">Iván </w:t>
      </w:r>
      <w:r w:rsidRPr="00E50F00">
        <w:rPr>
          <w:rFonts w:ascii="Arial" w:hAnsi="Arial" w:cs="Arial"/>
          <w:sz w:val="24"/>
          <w:szCs w:val="24"/>
          <w:lang w:eastAsia="es-CL"/>
        </w:rPr>
        <w:t>Arriagada, vicepresidente de Administración y Finanzas.</w:t>
      </w:r>
    </w:p>
    <w:p w:rsidR="00E82EF0" w:rsidRPr="00E82EF0" w:rsidRDefault="00E82EF0" w:rsidP="00E50F00">
      <w:pPr>
        <w:spacing w:after="120"/>
        <w:jc w:val="both"/>
        <w:rPr>
          <w:rFonts w:ascii="Arial" w:hAnsi="Arial" w:cs="Arial"/>
          <w:b/>
          <w:sz w:val="24"/>
          <w:szCs w:val="24"/>
          <w:lang w:eastAsia="es-CL"/>
        </w:rPr>
      </w:pPr>
      <w:r w:rsidRPr="00E82EF0">
        <w:rPr>
          <w:rFonts w:ascii="Arial" w:hAnsi="Arial" w:cs="Arial"/>
          <w:b/>
          <w:sz w:val="24"/>
          <w:szCs w:val="24"/>
          <w:lang w:eastAsia="es-CL"/>
        </w:rPr>
        <w:t>AUMENTO DE PRODUCCIÓN</w:t>
      </w:r>
    </w:p>
    <w:p w:rsidR="00E82EF0" w:rsidRPr="00E82EF0" w:rsidRDefault="00E82EF0" w:rsidP="00E82EF0">
      <w:pPr>
        <w:spacing w:after="120"/>
        <w:jc w:val="both"/>
        <w:rPr>
          <w:rFonts w:ascii="Arial" w:hAnsi="Arial" w:cs="Arial"/>
          <w:sz w:val="24"/>
          <w:szCs w:val="24"/>
          <w:lang w:eastAsia="es-CL"/>
        </w:rPr>
      </w:pPr>
      <w:r w:rsidRPr="00E82EF0">
        <w:rPr>
          <w:rFonts w:ascii="Arial" w:hAnsi="Arial" w:cs="Arial"/>
          <w:sz w:val="24"/>
          <w:szCs w:val="24"/>
          <w:lang w:eastAsia="es-CL"/>
        </w:rPr>
        <w:t>La producción Codelco durante el primer semestre de 2014 llegó a 877 mil toneladas métricas de cobre fino (</w:t>
      </w:r>
      <w:proofErr w:type="spellStart"/>
      <w:r w:rsidRPr="00E82EF0">
        <w:rPr>
          <w:rFonts w:ascii="Arial" w:hAnsi="Arial" w:cs="Arial"/>
          <w:sz w:val="24"/>
          <w:szCs w:val="24"/>
          <w:lang w:eastAsia="es-CL"/>
        </w:rPr>
        <w:t>tmf</w:t>
      </w:r>
      <w:proofErr w:type="spellEnd"/>
      <w:r w:rsidRPr="00E82EF0">
        <w:rPr>
          <w:rFonts w:ascii="Arial" w:hAnsi="Arial" w:cs="Arial"/>
          <w:sz w:val="24"/>
          <w:szCs w:val="24"/>
          <w:lang w:eastAsia="es-CL"/>
        </w:rPr>
        <w:t>), 34 mil toneladas más que lo alcanzado en igual período de 2013. La cifra incluye la producción atribuible al porcentaje de propiedad de Codelco en El Abra</w:t>
      </w:r>
      <w:r>
        <w:rPr>
          <w:rFonts w:ascii="Arial" w:hAnsi="Arial" w:cs="Arial"/>
          <w:sz w:val="24"/>
          <w:szCs w:val="24"/>
          <w:lang w:eastAsia="es-CL"/>
        </w:rPr>
        <w:t xml:space="preserve"> </w:t>
      </w:r>
      <w:r w:rsidRPr="00E82EF0">
        <w:rPr>
          <w:rFonts w:ascii="Arial" w:hAnsi="Arial" w:cs="Arial"/>
          <w:sz w:val="24"/>
          <w:szCs w:val="24"/>
          <w:lang w:eastAsia="es-CL"/>
        </w:rPr>
        <w:t xml:space="preserve"> y Anglo American Sur S.A. </w:t>
      </w:r>
    </w:p>
    <w:p w:rsidR="00E82EF0" w:rsidRPr="00E82EF0" w:rsidRDefault="00E82EF0" w:rsidP="00E82EF0">
      <w:pPr>
        <w:spacing w:after="120"/>
        <w:jc w:val="both"/>
        <w:rPr>
          <w:rFonts w:ascii="Arial" w:hAnsi="Arial" w:cs="Arial"/>
          <w:sz w:val="24"/>
          <w:szCs w:val="24"/>
          <w:lang w:eastAsia="es-CL"/>
        </w:rPr>
      </w:pPr>
      <w:r w:rsidRPr="00E82EF0">
        <w:rPr>
          <w:rFonts w:ascii="Arial" w:hAnsi="Arial" w:cs="Arial"/>
          <w:sz w:val="24"/>
          <w:szCs w:val="24"/>
          <w:lang w:eastAsia="es-CL"/>
        </w:rPr>
        <w:lastRenderedPageBreak/>
        <w:t xml:space="preserve">En tanto, la producción de las divisiones de Codelco -es decir, aquella que excluye la participación en El Abra y Anglo American Sur-, alcanzó en estos primeros meses del año a 788 mil toneladas, 30 mil más que en 2013. A diferencia del año pasado, esta cifra incluye 66 mil toneladas producidas por División Ministro Hales. </w:t>
      </w:r>
    </w:p>
    <w:p w:rsidR="00E82EF0" w:rsidRPr="00E82EF0" w:rsidRDefault="00E82EF0" w:rsidP="00E82EF0">
      <w:pPr>
        <w:spacing w:after="120"/>
        <w:jc w:val="both"/>
        <w:rPr>
          <w:rFonts w:ascii="Arial" w:hAnsi="Arial" w:cs="Arial"/>
          <w:sz w:val="24"/>
          <w:szCs w:val="24"/>
          <w:lang w:eastAsia="es-CL"/>
        </w:rPr>
      </w:pPr>
      <w:r w:rsidRPr="00E82EF0">
        <w:rPr>
          <w:rFonts w:ascii="Arial" w:hAnsi="Arial" w:cs="Arial"/>
          <w:sz w:val="24"/>
          <w:szCs w:val="24"/>
          <w:lang w:eastAsia="es-CL"/>
        </w:rPr>
        <w:t xml:space="preserve">Las alzas más destacadas se verificaron en la división Chuquicamata (26 mil </w:t>
      </w:r>
      <w:proofErr w:type="spellStart"/>
      <w:r w:rsidRPr="00E82EF0">
        <w:rPr>
          <w:rFonts w:ascii="Arial" w:hAnsi="Arial" w:cs="Arial"/>
          <w:sz w:val="24"/>
          <w:szCs w:val="24"/>
          <w:lang w:eastAsia="es-CL"/>
        </w:rPr>
        <w:t>tmf</w:t>
      </w:r>
      <w:proofErr w:type="spellEnd"/>
      <w:r w:rsidRPr="00E82EF0">
        <w:rPr>
          <w:rFonts w:ascii="Arial" w:hAnsi="Arial" w:cs="Arial"/>
          <w:sz w:val="24"/>
          <w:szCs w:val="24"/>
          <w:lang w:eastAsia="es-CL"/>
        </w:rPr>
        <w:t xml:space="preserve">) y El Teniente (5 mil </w:t>
      </w:r>
      <w:proofErr w:type="spellStart"/>
      <w:r w:rsidRPr="00E82EF0">
        <w:rPr>
          <w:rFonts w:ascii="Arial" w:hAnsi="Arial" w:cs="Arial"/>
          <w:sz w:val="24"/>
          <w:szCs w:val="24"/>
          <w:lang w:eastAsia="es-CL"/>
        </w:rPr>
        <w:t>tmf</w:t>
      </w:r>
      <w:proofErr w:type="spellEnd"/>
      <w:r w:rsidRPr="00E82EF0">
        <w:rPr>
          <w:rFonts w:ascii="Arial" w:hAnsi="Arial" w:cs="Arial"/>
          <w:sz w:val="24"/>
          <w:szCs w:val="24"/>
          <w:lang w:eastAsia="es-CL"/>
        </w:rPr>
        <w:t xml:space="preserve">). Respecto de la menor producción de División </w:t>
      </w:r>
      <w:proofErr w:type="spellStart"/>
      <w:r w:rsidRPr="00E82EF0">
        <w:rPr>
          <w:rFonts w:ascii="Arial" w:hAnsi="Arial" w:cs="Arial"/>
          <w:sz w:val="24"/>
          <w:szCs w:val="24"/>
          <w:lang w:eastAsia="es-CL"/>
        </w:rPr>
        <w:t>Radomiro</w:t>
      </w:r>
      <w:proofErr w:type="spellEnd"/>
      <w:r w:rsidRPr="00E82EF0">
        <w:rPr>
          <w:rFonts w:ascii="Arial" w:hAnsi="Arial" w:cs="Arial"/>
          <w:sz w:val="24"/>
          <w:szCs w:val="24"/>
          <w:lang w:eastAsia="es-CL"/>
        </w:rPr>
        <w:t xml:space="preserve"> Tomic (-48 mil </w:t>
      </w:r>
      <w:proofErr w:type="spellStart"/>
      <w:r w:rsidRPr="00E82EF0">
        <w:rPr>
          <w:rFonts w:ascii="Arial" w:hAnsi="Arial" w:cs="Arial"/>
          <w:sz w:val="24"/>
          <w:szCs w:val="24"/>
          <w:lang w:eastAsia="es-CL"/>
        </w:rPr>
        <w:t>tmf</w:t>
      </w:r>
      <w:proofErr w:type="spellEnd"/>
      <w:r w:rsidRPr="00E82EF0">
        <w:rPr>
          <w:rFonts w:ascii="Arial" w:hAnsi="Arial" w:cs="Arial"/>
          <w:sz w:val="24"/>
          <w:szCs w:val="24"/>
          <w:lang w:eastAsia="es-CL"/>
        </w:rPr>
        <w:t>), esta evidencia las menores leyes disponibles de los minerales oxidados actualmente en explotación. “La producción, en general, está bastante en línea con lo programado para la primera mitad del año”, indicó el vicepresidente de Administración y Finanzas.</w:t>
      </w:r>
    </w:p>
    <w:p w:rsidR="00E82EF0" w:rsidRPr="006873B2" w:rsidRDefault="00E82EF0" w:rsidP="00E82EF0">
      <w:pPr>
        <w:spacing w:after="120"/>
        <w:jc w:val="both"/>
        <w:rPr>
          <w:rFonts w:ascii="Arial" w:hAnsi="Arial" w:cs="Arial"/>
          <w:sz w:val="24"/>
          <w:szCs w:val="24"/>
          <w:lang w:eastAsia="es-CL"/>
        </w:rPr>
      </w:pPr>
      <w:r w:rsidRPr="00E82EF0">
        <w:rPr>
          <w:rFonts w:ascii="Arial" w:hAnsi="Arial" w:cs="Arial"/>
          <w:sz w:val="24"/>
          <w:szCs w:val="24"/>
          <w:lang w:eastAsia="es-CL"/>
        </w:rPr>
        <w:t>También hubo aumentos relevantes en la producción de molibdeno, que se incrementó en 41%, de plata (35%), ácido sulfúrico (15%) y oro (6%).</w:t>
      </w:r>
    </w:p>
    <w:p w:rsidR="00B95E3A" w:rsidRDefault="00B95E3A" w:rsidP="006E1D87">
      <w:pPr>
        <w:jc w:val="both"/>
        <w:rPr>
          <w:rFonts w:ascii="Arial" w:hAnsi="Arial" w:cs="Arial"/>
          <w:sz w:val="24"/>
          <w:szCs w:val="24"/>
          <w:lang w:eastAsia="es-CL"/>
        </w:rPr>
      </w:pPr>
      <w:r w:rsidRPr="006873B2">
        <w:rPr>
          <w:rFonts w:ascii="Arial" w:hAnsi="Arial" w:cs="Arial"/>
          <w:b/>
          <w:sz w:val="24"/>
          <w:szCs w:val="24"/>
          <w:lang w:eastAsia="es-CL"/>
        </w:rPr>
        <w:t>CO</w:t>
      </w:r>
      <w:r>
        <w:rPr>
          <w:rFonts w:ascii="Arial" w:hAnsi="Arial" w:cs="Arial"/>
          <w:b/>
          <w:sz w:val="24"/>
          <w:szCs w:val="24"/>
          <w:lang w:eastAsia="es-CL"/>
        </w:rPr>
        <w:t xml:space="preserve">NTENCION DE COSTOS </w:t>
      </w:r>
      <w:r w:rsidRPr="006873B2">
        <w:rPr>
          <w:rFonts w:ascii="Arial" w:hAnsi="Arial" w:cs="Arial"/>
          <w:sz w:val="24"/>
          <w:szCs w:val="24"/>
          <w:lang w:eastAsia="es-CL"/>
        </w:rPr>
        <w:t xml:space="preserve"> </w:t>
      </w:r>
    </w:p>
    <w:p w:rsidR="006E1D87" w:rsidRPr="006873B2" w:rsidRDefault="006E1D87" w:rsidP="006E1D87">
      <w:pPr>
        <w:jc w:val="both"/>
        <w:rPr>
          <w:rFonts w:ascii="Arial" w:hAnsi="Arial" w:cs="Arial"/>
          <w:sz w:val="24"/>
          <w:szCs w:val="24"/>
          <w:lang w:eastAsia="es-CL"/>
        </w:rPr>
      </w:pPr>
      <w:r w:rsidRPr="006873B2">
        <w:rPr>
          <w:rFonts w:ascii="Arial" w:hAnsi="Arial" w:cs="Arial"/>
          <w:sz w:val="24"/>
          <w:szCs w:val="24"/>
          <w:lang w:eastAsia="es-CL"/>
        </w:rPr>
        <w:t xml:space="preserve">En 7,7% disminuyó el costo directo (C1) de Codelco durante los primeros seis meses de 2014, comparado con el año anterior. Esto permitió que la empresa compensara en parte los efectos negativos del menor valor del cobre y de la mayoría de los productos </w:t>
      </w:r>
      <w:r w:rsidR="00842F21" w:rsidRPr="006873B2">
        <w:rPr>
          <w:rFonts w:ascii="Arial" w:hAnsi="Arial" w:cs="Arial"/>
          <w:sz w:val="24"/>
          <w:szCs w:val="24"/>
          <w:lang w:eastAsia="es-CL"/>
        </w:rPr>
        <w:t>que comercializa</w:t>
      </w:r>
      <w:r w:rsidRPr="006873B2">
        <w:rPr>
          <w:rFonts w:ascii="Arial" w:hAnsi="Arial" w:cs="Arial"/>
          <w:sz w:val="24"/>
          <w:szCs w:val="24"/>
          <w:lang w:eastAsia="es-CL"/>
        </w:rPr>
        <w:t>.</w:t>
      </w:r>
      <w:r w:rsidR="00A6457A" w:rsidRPr="006873B2">
        <w:rPr>
          <w:rFonts w:ascii="Arial" w:hAnsi="Arial" w:cs="Arial"/>
          <w:sz w:val="24"/>
          <w:szCs w:val="24"/>
          <w:lang w:eastAsia="es-CL"/>
        </w:rPr>
        <w:t xml:space="preserve"> Asimismo, también contribuyó el aumento </w:t>
      </w:r>
      <w:r w:rsidR="006873B2" w:rsidRPr="006873B2">
        <w:rPr>
          <w:rFonts w:ascii="Arial" w:hAnsi="Arial" w:cs="Arial"/>
          <w:sz w:val="24"/>
          <w:szCs w:val="24"/>
          <w:lang w:eastAsia="es-CL"/>
        </w:rPr>
        <w:t>de</w:t>
      </w:r>
      <w:r w:rsidR="00A6457A" w:rsidRPr="006873B2">
        <w:rPr>
          <w:rFonts w:ascii="Arial" w:hAnsi="Arial" w:cs="Arial"/>
          <w:sz w:val="24"/>
          <w:szCs w:val="24"/>
          <w:lang w:eastAsia="es-CL"/>
        </w:rPr>
        <w:t xml:space="preserve"> la producción </w:t>
      </w:r>
      <w:r w:rsidR="006873B2" w:rsidRPr="006873B2">
        <w:rPr>
          <w:rFonts w:ascii="Arial" w:hAnsi="Arial" w:cs="Arial"/>
          <w:sz w:val="24"/>
          <w:szCs w:val="24"/>
          <w:lang w:eastAsia="es-CL"/>
        </w:rPr>
        <w:t>con respecto a 2013</w:t>
      </w:r>
      <w:r w:rsidR="00A6457A" w:rsidRPr="006873B2">
        <w:rPr>
          <w:rFonts w:ascii="Arial" w:hAnsi="Arial" w:cs="Arial"/>
          <w:sz w:val="24"/>
          <w:szCs w:val="24"/>
          <w:lang w:eastAsia="es-CL"/>
        </w:rPr>
        <w:t>.</w:t>
      </w:r>
    </w:p>
    <w:p w:rsidR="00A6457A" w:rsidRPr="006873B2" w:rsidRDefault="00A6457A" w:rsidP="00842F21">
      <w:pPr>
        <w:jc w:val="both"/>
        <w:rPr>
          <w:rFonts w:ascii="Arial" w:hAnsi="Arial" w:cs="Arial"/>
          <w:sz w:val="24"/>
          <w:szCs w:val="24"/>
          <w:lang w:eastAsia="es-CL"/>
        </w:rPr>
      </w:pPr>
      <w:r w:rsidRPr="006873B2">
        <w:rPr>
          <w:rFonts w:ascii="Arial" w:hAnsi="Arial" w:cs="Arial"/>
          <w:sz w:val="24"/>
          <w:szCs w:val="24"/>
          <w:lang w:eastAsia="es-CL"/>
        </w:rPr>
        <w:t>“Codelco sigue reforzando su trabajo en disminuir costos y aumentar productividad para enfrentar de mejor manera un mercado con precios, en promedio, más bajos</w:t>
      </w:r>
      <w:r w:rsidR="00B95E3A">
        <w:rPr>
          <w:rFonts w:ascii="Arial" w:hAnsi="Arial" w:cs="Arial"/>
          <w:sz w:val="24"/>
          <w:szCs w:val="24"/>
          <w:lang w:eastAsia="es-CL"/>
        </w:rPr>
        <w:t>"</w:t>
      </w:r>
      <w:r w:rsidR="00E82EF0">
        <w:rPr>
          <w:rFonts w:ascii="Arial" w:hAnsi="Arial" w:cs="Arial"/>
          <w:sz w:val="24"/>
          <w:szCs w:val="24"/>
          <w:lang w:eastAsia="es-CL"/>
        </w:rPr>
        <w:t>,</w:t>
      </w:r>
      <w:r w:rsidR="00B95E3A">
        <w:rPr>
          <w:rFonts w:ascii="Arial" w:hAnsi="Arial" w:cs="Arial"/>
          <w:sz w:val="24"/>
          <w:szCs w:val="24"/>
          <w:lang w:eastAsia="es-CL"/>
        </w:rPr>
        <w:t xml:space="preserve"> </w:t>
      </w:r>
      <w:r w:rsidRPr="006873B2">
        <w:rPr>
          <w:rFonts w:ascii="Arial" w:hAnsi="Arial" w:cs="Arial"/>
          <w:sz w:val="24"/>
          <w:szCs w:val="24"/>
          <w:lang w:eastAsia="es-CL"/>
        </w:rPr>
        <w:t>afirmó Arriagada, vicepresidente de Administración y Finanzas.</w:t>
      </w:r>
    </w:p>
    <w:p w:rsidR="006873B2" w:rsidRPr="006873B2" w:rsidRDefault="006873B2" w:rsidP="004A55CF">
      <w:pPr>
        <w:spacing w:after="120"/>
        <w:jc w:val="both"/>
        <w:rPr>
          <w:rFonts w:ascii="Arial" w:hAnsi="Arial" w:cs="Arial"/>
          <w:sz w:val="24"/>
          <w:szCs w:val="24"/>
          <w:lang w:eastAsia="es-CL"/>
        </w:rPr>
      </w:pPr>
      <w:r w:rsidRPr="006873B2">
        <w:rPr>
          <w:rFonts w:ascii="Arial" w:hAnsi="Arial" w:cs="Arial"/>
          <w:sz w:val="24"/>
          <w:szCs w:val="24"/>
          <w:lang w:eastAsia="es-CL"/>
        </w:rPr>
        <w:t>En el período analizado, el costo directo (C1) de Codelco fue de 158,1 centavos por libra de cobre, lo que es un 7,7% inferior a costo del primer semestre de 2013. El C1 es el tipo de costo que emplea la industria minera mundial para contrastar la gestión de las distintas empresas.</w:t>
      </w:r>
    </w:p>
    <w:p w:rsidR="006873B2" w:rsidRPr="006873B2" w:rsidRDefault="006873B2" w:rsidP="006873B2">
      <w:pPr>
        <w:spacing w:after="120"/>
        <w:jc w:val="both"/>
        <w:rPr>
          <w:rFonts w:ascii="Arial" w:hAnsi="Arial" w:cs="Arial"/>
          <w:sz w:val="24"/>
          <w:szCs w:val="24"/>
          <w:lang w:eastAsia="es-CL"/>
        </w:rPr>
      </w:pPr>
      <w:r w:rsidRPr="006873B2">
        <w:rPr>
          <w:rFonts w:ascii="Arial" w:hAnsi="Arial" w:cs="Arial"/>
          <w:sz w:val="24"/>
          <w:szCs w:val="24"/>
          <w:lang w:eastAsia="es-CL"/>
        </w:rPr>
        <w:t>“La reducción de</w:t>
      </w:r>
      <w:r w:rsidR="00B2281E">
        <w:rPr>
          <w:rFonts w:ascii="Arial" w:hAnsi="Arial" w:cs="Arial"/>
          <w:sz w:val="24"/>
          <w:szCs w:val="24"/>
          <w:lang w:eastAsia="es-CL"/>
        </w:rPr>
        <w:t>l</w:t>
      </w:r>
      <w:r w:rsidRPr="006873B2">
        <w:rPr>
          <w:rFonts w:ascii="Arial" w:hAnsi="Arial" w:cs="Arial"/>
          <w:sz w:val="24"/>
          <w:szCs w:val="24"/>
          <w:lang w:eastAsia="es-CL"/>
        </w:rPr>
        <w:t xml:space="preserve"> costo directo nos permite aumentar competitividad</w:t>
      </w:r>
      <w:r w:rsidR="005353DA">
        <w:rPr>
          <w:rFonts w:ascii="Arial" w:hAnsi="Arial" w:cs="Arial"/>
          <w:sz w:val="24"/>
          <w:szCs w:val="24"/>
          <w:lang w:eastAsia="es-CL"/>
        </w:rPr>
        <w:t xml:space="preserve">. </w:t>
      </w:r>
      <w:r w:rsidRPr="006873B2">
        <w:rPr>
          <w:rFonts w:ascii="Arial" w:hAnsi="Arial" w:cs="Arial"/>
          <w:sz w:val="24"/>
          <w:szCs w:val="24"/>
          <w:lang w:eastAsia="es-CL"/>
        </w:rPr>
        <w:t xml:space="preserve">Este es un esfuerzo permanente, que </w:t>
      </w:r>
      <w:r w:rsidR="00B95E3A">
        <w:rPr>
          <w:rFonts w:ascii="Arial" w:hAnsi="Arial" w:cs="Arial"/>
          <w:sz w:val="24"/>
          <w:szCs w:val="24"/>
          <w:lang w:eastAsia="es-CL"/>
        </w:rPr>
        <w:t xml:space="preserve">compromete a </w:t>
      </w:r>
      <w:r w:rsidRPr="006873B2">
        <w:rPr>
          <w:rFonts w:ascii="Arial" w:hAnsi="Arial" w:cs="Arial"/>
          <w:sz w:val="24"/>
          <w:szCs w:val="24"/>
          <w:lang w:eastAsia="es-CL"/>
        </w:rPr>
        <w:t xml:space="preserve">todos en la empresa”, explicó Iván Arriagada.  </w:t>
      </w:r>
    </w:p>
    <w:p w:rsidR="00EF302A" w:rsidRPr="006873B2" w:rsidRDefault="006873B2" w:rsidP="004A55CF">
      <w:pPr>
        <w:spacing w:after="120"/>
        <w:jc w:val="both"/>
        <w:rPr>
          <w:rFonts w:ascii="Arial" w:hAnsi="Arial" w:cs="Arial"/>
          <w:sz w:val="24"/>
          <w:szCs w:val="24"/>
          <w:lang w:eastAsia="es-CL"/>
        </w:rPr>
      </w:pPr>
      <w:r w:rsidRPr="006873B2">
        <w:rPr>
          <w:rFonts w:ascii="Arial" w:hAnsi="Arial" w:cs="Arial"/>
          <w:sz w:val="24"/>
          <w:szCs w:val="24"/>
          <w:lang w:eastAsia="es-CL"/>
        </w:rPr>
        <w:t>Por su parte</w:t>
      </w:r>
      <w:r w:rsidR="007A1A64" w:rsidRPr="006873B2">
        <w:rPr>
          <w:rFonts w:ascii="Arial" w:hAnsi="Arial" w:cs="Arial"/>
          <w:sz w:val="24"/>
          <w:szCs w:val="24"/>
          <w:lang w:eastAsia="es-CL"/>
        </w:rPr>
        <w:t>,</w:t>
      </w:r>
      <w:r w:rsidR="00EF302A" w:rsidRPr="006873B2">
        <w:rPr>
          <w:rFonts w:ascii="Arial" w:hAnsi="Arial" w:cs="Arial"/>
          <w:sz w:val="24"/>
          <w:szCs w:val="24"/>
          <w:lang w:eastAsia="es-CL"/>
        </w:rPr>
        <w:t xml:space="preserve"> los costos y gastos totales de Codelco tuvieron un</w:t>
      </w:r>
      <w:r w:rsidR="00EF4059" w:rsidRPr="006873B2">
        <w:rPr>
          <w:rFonts w:ascii="Arial" w:hAnsi="Arial" w:cs="Arial"/>
          <w:sz w:val="24"/>
          <w:szCs w:val="24"/>
          <w:lang w:eastAsia="es-CL"/>
        </w:rPr>
        <w:t>a leve</w:t>
      </w:r>
      <w:r w:rsidR="00891BE1" w:rsidRPr="006873B2">
        <w:rPr>
          <w:rFonts w:ascii="Arial" w:hAnsi="Arial" w:cs="Arial"/>
          <w:sz w:val="24"/>
          <w:szCs w:val="24"/>
          <w:lang w:eastAsia="es-CL"/>
        </w:rPr>
        <w:t xml:space="preserve"> alza </w:t>
      </w:r>
      <w:r w:rsidR="00EF302A" w:rsidRPr="006873B2">
        <w:rPr>
          <w:rFonts w:ascii="Arial" w:hAnsi="Arial" w:cs="Arial"/>
          <w:sz w:val="24"/>
          <w:szCs w:val="24"/>
          <w:lang w:eastAsia="es-CL"/>
        </w:rPr>
        <w:t xml:space="preserve">de </w:t>
      </w:r>
      <w:r w:rsidR="00891BE1" w:rsidRPr="006873B2">
        <w:rPr>
          <w:rFonts w:ascii="Arial" w:hAnsi="Arial" w:cs="Arial"/>
          <w:sz w:val="24"/>
          <w:szCs w:val="24"/>
          <w:lang w:eastAsia="es-CL"/>
        </w:rPr>
        <w:t>2</w:t>
      </w:r>
      <w:r w:rsidR="00EF302A" w:rsidRPr="006873B2">
        <w:rPr>
          <w:rFonts w:ascii="Arial" w:hAnsi="Arial" w:cs="Arial"/>
          <w:sz w:val="24"/>
          <w:szCs w:val="24"/>
          <w:lang w:eastAsia="es-CL"/>
        </w:rPr>
        <w:t xml:space="preserve">%, llegando a </w:t>
      </w:r>
      <w:r w:rsidR="00891BE1" w:rsidRPr="006873B2">
        <w:rPr>
          <w:rFonts w:ascii="Arial" w:hAnsi="Arial" w:cs="Arial"/>
          <w:sz w:val="24"/>
          <w:szCs w:val="24"/>
          <w:lang w:eastAsia="es-CL"/>
        </w:rPr>
        <w:t>240,9</w:t>
      </w:r>
      <w:r w:rsidRPr="006873B2">
        <w:rPr>
          <w:rFonts w:ascii="Arial" w:hAnsi="Arial" w:cs="Arial"/>
          <w:sz w:val="24"/>
          <w:szCs w:val="24"/>
          <w:lang w:eastAsia="es-CL"/>
        </w:rPr>
        <w:t xml:space="preserve"> </w:t>
      </w:r>
      <w:r w:rsidR="00146D4B" w:rsidRPr="006873B2">
        <w:rPr>
          <w:rFonts w:ascii="Arial" w:hAnsi="Arial" w:cs="Arial"/>
          <w:sz w:val="24"/>
          <w:szCs w:val="24"/>
          <w:lang w:eastAsia="es-CL"/>
        </w:rPr>
        <w:t xml:space="preserve"> </w:t>
      </w:r>
      <w:r w:rsidR="00EF302A" w:rsidRPr="006873B2">
        <w:rPr>
          <w:rFonts w:ascii="Arial" w:hAnsi="Arial" w:cs="Arial"/>
          <w:sz w:val="24"/>
          <w:szCs w:val="24"/>
          <w:lang w:eastAsia="es-CL"/>
        </w:rPr>
        <w:t>c</w:t>
      </w:r>
      <w:r w:rsidR="00D6070E" w:rsidRPr="006873B2">
        <w:rPr>
          <w:rFonts w:ascii="Arial" w:hAnsi="Arial" w:cs="Arial"/>
          <w:sz w:val="24"/>
          <w:szCs w:val="24"/>
          <w:lang w:eastAsia="es-CL"/>
        </w:rPr>
        <w:t>entavos de dólar por libra</w:t>
      </w:r>
      <w:r w:rsidR="00EF302A" w:rsidRPr="006873B2">
        <w:rPr>
          <w:rFonts w:ascii="Arial" w:hAnsi="Arial" w:cs="Arial"/>
          <w:sz w:val="24"/>
          <w:szCs w:val="24"/>
          <w:lang w:eastAsia="es-CL"/>
        </w:rPr>
        <w:t xml:space="preserve"> de cobre</w:t>
      </w:r>
      <w:r w:rsidR="00D6070E" w:rsidRPr="006873B2">
        <w:rPr>
          <w:rFonts w:ascii="Arial" w:hAnsi="Arial" w:cs="Arial"/>
          <w:sz w:val="24"/>
          <w:szCs w:val="24"/>
          <w:lang w:eastAsia="es-CL"/>
        </w:rPr>
        <w:t xml:space="preserve"> (c/lb)</w:t>
      </w:r>
      <w:r w:rsidR="00EF302A" w:rsidRPr="006873B2">
        <w:rPr>
          <w:rFonts w:ascii="Arial" w:hAnsi="Arial" w:cs="Arial"/>
          <w:sz w:val="24"/>
          <w:szCs w:val="24"/>
          <w:lang w:eastAsia="es-CL"/>
        </w:rPr>
        <w:t>.</w:t>
      </w:r>
      <w:r w:rsidRPr="006873B2">
        <w:rPr>
          <w:rFonts w:ascii="Arial" w:hAnsi="Arial" w:cs="Arial"/>
          <w:sz w:val="24"/>
          <w:szCs w:val="24"/>
          <w:lang w:eastAsia="es-CL"/>
        </w:rPr>
        <w:t xml:space="preserve"> E</w:t>
      </w:r>
      <w:r w:rsidR="00EF302A" w:rsidRPr="006873B2">
        <w:rPr>
          <w:rFonts w:ascii="Arial" w:hAnsi="Arial" w:cs="Arial"/>
          <w:sz w:val="24"/>
          <w:szCs w:val="24"/>
          <w:lang w:eastAsia="es-CL"/>
        </w:rPr>
        <w:t xml:space="preserve">l Costo Neto a Cátodo corporativo (C3) </w:t>
      </w:r>
      <w:r w:rsidRPr="006873B2">
        <w:rPr>
          <w:rFonts w:ascii="Arial" w:hAnsi="Arial" w:cs="Arial"/>
          <w:sz w:val="24"/>
          <w:szCs w:val="24"/>
          <w:lang w:eastAsia="es-CL"/>
        </w:rPr>
        <w:t xml:space="preserve">también </w:t>
      </w:r>
      <w:r w:rsidR="00EF4059" w:rsidRPr="006873B2">
        <w:rPr>
          <w:rFonts w:ascii="Arial" w:hAnsi="Arial" w:cs="Arial"/>
          <w:sz w:val="24"/>
          <w:szCs w:val="24"/>
          <w:lang w:eastAsia="es-CL"/>
        </w:rPr>
        <w:t>aumentó en 2</w:t>
      </w:r>
      <w:r w:rsidR="004B67C9" w:rsidRPr="006873B2">
        <w:rPr>
          <w:rFonts w:ascii="Arial" w:hAnsi="Arial" w:cs="Arial"/>
          <w:sz w:val="24"/>
          <w:szCs w:val="24"/>
          <w:lang w:eastAsia="es-CL"/>
        </w:rPr>
        <w:t>%</w:t>
      </w:r>
      <w:r w:rsidR="00EA4084" w:rsidRPr="006873B2">
        <w:rPr>
          <w:rFonts w:ascii="Arial" w:hAnsi="Arial" w:cs="Arial"/>
          <w:sz w:val="24"/>
          <w:szCs w:val="24"/>
          <w:lang w:eastAsia="es-CL"/>
        </w:rPr>
        <w:t xml:space="preserve">, </w:t>
      </w:r>
      <w:r w:rsidR="00EF4059" w:rsidRPr="006873B2">
        <w:rPr>
          <w:rFonts w:ascii="Arial" w:hAnsi="Arial" w:cs="Arial"/>
          <w:sz w:val="24"/>
          <w:szCs w:val="24"/>
          <w:lang w:eastAsia="es-CL"/>
        </w:rPr>
        <w:t>alcanzando los 224,3</w:t>
      </w:r>
      <w:r w:rsidR="00EF302A" w:rsidRPr="006873B2">
        <w:rPr>
          <w:rFonts w:ascii="Arial" w:hAnsi="Arial" w:cs="Arial"/>
          <w:sz w:val="24"/>
          <w:szCs w:val="24"/>
          <w:lang w:eastAsia="es-CL"/>
        </w:rPr>
        <w:t xml:space="preserve"> centavos de dólar la libra</w:t>
      </w:r>
      <w:r w:rsidR="00D6070E" w:rsidRPr="006873B2">
        <w:rPr>
          <w:rFonts w:ascii="Arial" w:hAnsi="Arial" w:cs="Arial"/>
          <w:sz w:val="24"/>
          <w:szCs w:val="24"/>
          <w:lang w:eastAsia="es-CL"/>
        </w:rPr>
        <w:t xml:space="preserve"> en promedio</w:t>
      </w:r>
      <w:r w:rsidR="00EF302A" w:rsidRPr="006873B2">
        <w:rPr>
          <w:rFonts w:ascii="Arial" w:hAnsi="Arial" w:cs="Arial"/>
          <w:sz w:val="24"/>
          <w:szCs w:val="24"/>
          <w:lang w:eastAsia="es-CL"/>
        </w:rPr>
        <w:t>.</w:t>
      </w:r>
      <w:r w:rsidR="00291DB8" w:rsidRPr="006873B2">
        <w:rPr>
          <w:rFonts w:ascii="Arial" w:hAnsi="Arial" w:cs="Arial"/>
          <w:sz w:val="24"/>
          <w:szCs w:val="24"/>
          <w:lang w:eastAsia="es-CL"/>
        </w:rPr>
        <w:t xml:space="preserve"> Este es el </w:t>
      </w:r>
      <w:r w:rsidR="00D6070E" w:rsidRPr="006873B2">
        <w:rPr>
          <w:rFonts w:ascii="Arial" w:hAnsi="Arial" w:cs="Arial"/>
          <w:sz w:val="24"/>
          <w:szCs w:val="24"/>
          <w:lang w:eastAsia="es-CL"/>
        </w:rPr>
        <w:t>costo que se compara con el precio de la Bolsa de Metales de Londres.</w:t>
      </w:r>
      <w:r w:rsidR="005353DA">
        <w:rPr>
          <w:rFonts w:ascii="Arial" w:hAnsi="Arial" w:cs="Arial"/>
          <w:sz w:val="24"/>
          <w:szCs w:val="24"/>
          <w:lang w:eastAsia="es-CL"/>
        </w:rPr>
        <w:t xml:space="preserve"> Esto se explica por mayores depreciaciones, gastos financieros y gastos extraordinarios. </w:t>
      </w:r>
    </w:p>
    <w:p w:rsidR="00832B56" w:rsidRPr="006873B2" w:rsidRDefault="00832B56" w:rsidP="004A55CF">
      <w:pPr>
        <w:spacing w:after="120"/>
        <w:jc w:val="both"/>
        <w:rPr>
          <w:rFonts w:ascii="Arial" w:hAnsi="Arial" w:cs="Arial"/>
          <w:b/>
          <w:sz w:val="24"/>
          <w:szCs w:val="24"/>
          <w:lang w:eastAsia="es-CL"/>
        </w:rPr>
      </w:pPr>
      <w:r w:rsidRPr="006873B2">
        <w:rPr>
          <w:rFonts w:ascii="Arial" w:hAnsi="Arial" w:cs="Arial"/>
          <w:b/>
          <w:sz w:val="24"/>
          <w:szCs w:val="24"/>
          <w:lang w:eastAsia="es-CL"/>
        </w:rPr>
        <w:t>MENOR</w:t>
      </w:r>
      <w:r w:rsidR="00D6070E" w:rsidRPr="006873B2">
        <w:rPr>
          <w:rFonts w:ascii="Arial" w:hAnsi="Arial" w:cs="Arial"/>
          <w:b/>
          <w:sz w:val="24"/>
          <w:szCs w:val="24"/>
          <w:lang w:eastAsia="es-CL"/>
        </w:rPr>
        <w:t>ES INGRESOS POR VENTAS</w:t>
      </w:r>
    </w:p>
    <w:p w:rsidR="00EF302A" w:rsidRPr="006873B2" w:rsidRDefault="00832B56" w:rsidP="004A55CF">
      <w:pPr>
        <w:spacing w:after="120"/>
        <w:jc w:val="both"/>
        <w:rPr>
          <w:rFonts w:ascii="Arial" w:hAnsi="Arial" w:cs="Arial"/>
          <w:sz w:val="24"/>
          <w:szCs w:val="24"/>
          <w:lang w:eastAsia="es-CL"/>
        </w:rPr>
      </w:pPr>
      <w:r w:rsidRPr="006873B2">
        <w:rPr>
          <w:rFonts w:ascii="Arial" w:hAnsi="Arial" w:cs="Arial"/>
          <w:sz w:val="24"/>
          <w:szCs w:val="24"/>
          <w:lang w:eastAsia="es-CL"/>
        </w:rPr>
        <w:t xml:space="preserve">Los ingresos por ventas de cobre totalizan US$ </w:t>
      </w:r>
      <w:r w:rsidR="00EB7797" w:rsidRPr="006873B2">
        <w:rPr>
          <w:rFonts w:ascii="Arial" w:hAnsi="Arial" w:cs="Arial"/>
          <w:sz w:val="24"/>
          <w:szCs w:val="24"/>
          <w:lang w:eastAsia="es-CL"/>
        </w:rPr>
        <w:t>5.002</w:t>
      </w:r>
      <w:r w:rsidR="00BF5522" w:rsidRPr="006873B2">
        <w:rPr>
          <w:rFonts w:ascii="Arial" w:hAnsi="Arial" w:cs="Arial"/>
          <w:sz w:val="24"/>
          <w:szCs w:val="24"/>
          <w:lang w:eastAsia="es-CL"/>
        </w:rPr>
        <w:t xml:space="preserve"> millones</w:t>
      </w:r>
      <w:r w:rsidRPr="006873B2">
        <w:rPr>
          <w:rFonts w:ascii="Arial" w:hAnsi="Arial" w:cs="Arial"/>
          <w:sz w:val="24"/>
          <w:szCs w:val="24"/>
          <w:lang w:eastAsia="es-CL"/>
        </w:rPr>
        <w:t xml:space="preserve"> </w:t>
      </w:r>
      <w:r w:rsidR="006D2871" w:rsidRPr="006873B2">
        <w:rPr>
          <w:rFonts w:ascii="Arial" w:hAnsi="Arial" w:cs="Arial"/>
          <w:sz w:val="24"/>
          <w:szCs w:val="24"/>
          <w:lang w:eastAsia="es-CL"/>
        </w:rPr>
        <w:t xml:space="preserve">entre enero y </w:t>
      </w:r>
      <w:r w:rsidR="00EB7797" w:rsidRPr="006873B2">
        <w:rPr>
          <w:rFonts w:ascii="Arial" w:hAnsi="Arial" w:cs="Arial"/>
          <w:sz w:val="24"/>
          <w:szCs w:val="24"/>
          <w:lang w:eastAsia="es-CL"/>
        </w:rPr>
        <w:t>junio del presente año</w:t>
      </w:r>
      <w:r w:rsidR="006D2871" w:rsidRPr="006873B2">
        <w:rPr>
          <w:rFonts w:ascii="Arial" w:hAnsi="Arial" w:cs="Arial"/>
          <w:sz w:val="24"/>
          <w:szCs w:val="24"/>
          <w:lang w:eastAsia="es-CL"/>
        </w:rPr>
        <w:t>,</w:t>
      </w:r>
      <w:r w:rsidRPr="006873B2">
        <w:rPr>
          <w:rFonts w:ascii="Arial" w:hAnsi="Arial" w:cs="Arial"/>
          <w:sz w:val="24"/>
          <w:szCs w:val="24"/>
          <w:lang w:eastAsia="es-CL"/>
        </w:rPr>
        <w:t xml:space="preserve"> </w:t>
      </w:r>
      <w:r w:rsidR="006873B2" w:rsidRPr="006873B2">
        <w:rPr>
          <w:rFonts w:ascii="Arial" w:hAnsi="Arial" w:cs="Arial"/>
          <w:sz w:val="24"/>
          <w:szCs w:val="24"/>
          <w:lang w:eastAsia="es-CL"/>
        </w:rPr>
        <w:t xml:space="preserve">US$ </w:t>
      </w:r>
      <w:r w:rsidR="00EB7797" w:rsidRPr="006873B2">
        <w:rPr>
          <w:rFonts w:ascii="Arial" w:hAnsi="Arial" w:cs="Arial"/>
          <w:sz w:val="24"/>
          <w:szCs w:val="24"/>
          <w:lang w:eastAsia="es-CL"/>
        </w:rPr>
        <w:t>852</w:t>
      </w:r>
      <w:r w:rsidR="00CA19FA" w:rsidRPr="006873B2">
        <w:rPr>
          <w:rFonts w:ascii="Arial" w:hAnsi="Arial" w:cs="Arial"/>
          <w:sz w:val="24"/>
          <w:szCs w:val="24"/>
          <w:lang w:eastAsia="es-CL"/>
        </w:rPr>
        <w:t xml:space="preserve"> millones menos que</w:t>
      </w:r>
      <w:r w:rsidR="00BF5522" w:rsidRPr="006873B2">
        <w:rPr>
          <w:rFonts w:ascii="Arial" w:hAnsi="Arial" w:cs="Arial"/>
          <w:sz w:val="24"/>
          <w:szCs w:val="24"/>
          <w:lang w:eastAsia="es-CL"/>
        </w:rPr>
        <w:t xml:space="preserve"> </w:t>
      </w:r>
      <w:r w:rsidR="006873B2" w:rsidRPr="006873B2">
        <w:rPr>
          <w:rFonts w:ascii="Arial" w:hAnsi="Arial" w:cs="Arial"/>
          <w:sz w:val="24"/>
          <w:szCs w:val="24"/>
          <w:lang w:eastAsia="es-CL"/>
        </w:rPr>
        <w:t>en</w:t>
      </w:r>
      <w:r w:rsidR="00CA19FA" w:rsidRPr="006873B2">
        <w:rPr>
          <w:rFonts w:ascii="Arial" w:hAnsi="Arial" w:cs="Arial"/>
          <w:sz w:val="24"/>
          <w:szCs w:val="24"/>
          <w:lang w:eastAsia="es-CL"/>
        </w:rPr>
        <w:t xml:space="preserve"> </w:t>
      </w:r>
      <w:r w:rsidR="00BF5522" w:rsidRPr="006873B2">
        <w:rPr>
          <w:rFonts w:ascii="Arial" w:hAnsi="Arial" w:cs="Arial"/>
          <w:sz w:val="24"/>
          <w:szCs w:val="24"/>
          <w:lang w:eastAsia="es-CL"/>
        </w:rPr>
        <w:t>e</w:t>
      </w:r>
      <w:r w:rsidR="00B205CD" w:rsidRPr="006873B2">
        <w:rPr>
          <w:rFonts w:ascii="Arial" w:hAnsi="Arial" w:cs="Arial"/>
          <w:sz w:val="24"/>
          <w:szCs w:val="24"/>
          <w:lang w:eastAsia="es-CL"/>
        </w:rPr>
        <w:t xml:space="preserve">l </w:t>
      </w:r>
      <w:r w:rsidR="006D2871" w:rsidRPr="006873B2">
        <w:rPr>
          <w:rFonts w:ascii="Arial" w:hAnsi="Arial" w:cs="Arial"/>
          <w:sz w:val="24"/>
          <w:szCs w:val="24"/>
          <w:lang w:eastAsia="es-CL"/>
        </w:rPr>
        <w:t xml:space="preserve">primer </w:t>
      </w:r>
      <w:r w:rsidR="00EB7797" w:rsidRPr="006873B2">
        <w:rPr>
          <w:rFonts w:ascii="Arial" w:hAnsi="Arial" w:cs="Arial"/>
          <w:sz w:val="24"/>
          <w:szCs w:val="24"/>
          <w:lang w:eastAsia="es-CL"/>
        </w:rPr>
        <w:t>semestre</w:t>
      </w:r>
      <w:r w:rsidR="006D2871" w:rsidRPr="006873B2">
        <w:rPr>
          <w:rFonts w:ascii="Arial" w:hAnsi="Arial" w:cs="Arial"/>
          <w:sz w:val="24"/>
          <w:szCs w:val="24"/>
          <w:lang w:eastAsia="es-CL"/>
        </w:rPr>
        <w:t xml:space="preserve"> de 2013</w:t>
      </w:r>
      <w:r w:rsidR="00BF5522" w:rsidRPr="006873B2">
        <w:rPr>
          <w:rFonts w:ascii="Arial" w:hAnsi="Arial" w:cs="Arial"/>
          <w:sz w:val="24"/>
          <w:szCs w:val="24"/>
          <w:lang w:eastAsia="es-CL"/>
        </w:rPr>
        <w:t xml:space="preserve">, debido </w:t>
      </w:r>
      <w:r w:rsidRPr="006873B2">
        <w:rPr>
          <w:rFonts w:ascii="Arial" w:hAnsi="Arial" w:cs="Arial"/>
          <w:sz w:val="24"/>
          <w:szCs w:val="24"/>
          <w:lang w:eastAsia="es-CL"/>
        </w:rPr>
        <w:t>al menor precio</w:t>
      </w:r>
      <w:r w:rsidR="00BF5522" w:rsidRPr="006873B2">
        <w:rPr>
          <w:rFonts w:ascii="Arial" w:hAnsi="Arial" w:cs="Arial"/>
          <w:sz w:val="24"/>
          <w:szCs w:val="24"/>
          <w:lang w:eastAsia="es-CL"/>
        </w:rPr>
        <w:t xml:space="preserve"> del metal</w:t>
      </w:r>
      <w:r w:rsidR="00EB7797" w:rsidRPr="006873B2">
        <w:rPr>
          <w:rFonts w:ascii="Arial" w:hAnsi="Arial" w:cs="Arial"/>
          <w:sz w:val="24"/>
          <w:szCs w:val="24"/>
          <w:lang w:eastAsia="es-CL"/>
        </w:rPr>
        <w:t>.</w:t>
      </w:r>
      <w:r w:rsidR="00E82EF0">
        <w:rPr>
          <w:rFonts w:ascii="Arial" w:hAnsi="Arial" w:cs="Arial"/>
          <w:sz w:val="24"/>
          <w:szCs w:val="24"/>
          <w:lang w:eastAsia="es-CL"/>
        </w:rPr>
        <w:t xml:space="preserve"> </w:t>
      </w:r>
      <w:r w:rsidRPr="006873B2">
        <w:rPr>
          <w:rFonts w:ascii="Arial" w:hAnsi="Arial" w:cs="Arial"/>
          <w:sz w:val="24"/>
          <w:szCs w:val="24"/>
          <w:lang w:eastAsia="es-CL"/>
        </w:rPr>
        <w:t xml:space="preserve">Como el costo del cobre vendido en este período fue de US$ </w:t>
      </w:r>
      <w:r w:rsidR="00EB7797" w:rsidRPr="006873B2">
        <w:rPr>
          <w:rFonts w:ascii="Arial" w:hAnsi="Arial" w:cs="Arial"/>
          <w:sz w:val="24"/>
          <w:szCs w:val="24"/>
          <w:lang w:eastAsia="es-CL"/>
        </w:rPr>
        <w:t>3.676</w:t>
      </w:r>
      <w:r w:rsidRPr="006873B2">
        <w:rPr>
          <w:rFonts w:ascii="Arial" w:hAnsi="Arial" w:cs="Arial"/>
          <w:sz w:val="24"/>
          <w:szCs w:val="24"/>
          <w:lang w:eastAsia="es-CL"/>
        </w:rPr>
        <w:t xml:space="preserve"> millones, la ganancia bruta por venta de cobre llegó a US$ </w:t>
      </w:r>
      <w:r w:rsidR="00EB7797" w:rsidRPr="006873B2">
        <w:rPr>
          <w:rFonts w:ascii="Arial" w:hAnsi="Arial" w:cs="Arial"/>
          <w:sz w:val="24"/>
          <w:szCs w:val="24"/>
          <w:lang w:eastAsia="es-CL"/>
        </w:rPr>
        <w:t>1.326</w:t>
      </w:r>
      <w:r w:rsidR="006D2871" w:rsidRPr="006873B2">
        <w:rPr>
          <w:rFonts w:ascii="Arial" w:hAnsi="Arial" w:cs="Arial"/>
          <w:sz w:val="24"/>
          <w:szCs w:val="24"/>
          <w:lang w:eastAsia="es-CL"/>
        </w:rPr>
        <w:t xml:space="preserve"> </w:t>
      </w:r>
      <w:r w:rsidRPr="006873B2">
        <w:rPr>
          <w:rFonts w:ascii="Arial" w:hAnsi="Arial" w:cs="Arial"/>
          <w:sz w:val="24"/>
          <w:szCs w:val="24"/>
          <w:lang w:eastAsia="es-CL"/>
        </w:rPr>
        <w:t>millones. </w:t>
      </w:r>
    </w:p>
    <w:p w:rsidR="00832B56" w:rsidRPr="006873B2" w:rsidRDefault="00832B56" w:rsidP="004A55CF">
      <w:pPr>
        <w:spacing w:after="120"/>
        <w:jc w:val="both"/>
        <w:rPr>
          <w:rFonts w:ascii="Arial" w:hAnsi="Arial" w:cs="Arial"/>
          <w:sz w:val="24"/>
          <w:szCs w:val="24"/>
          <w:lang w:eastAsia="es-CL"/>
        </w:rPr>
      </w:pPr>
      <w:r w:rsidRPr="006873B2">
        <w:rPr>
          <w:rFonts w:ascii="Arial" w:hAnsi="Arial" w:cs="Arial"/>
          <w:sz w:val="24"/>
          <w:szCs w:val="24"/>
          <w:lang w:eastAsia="es-CL"/>
        </w:rPr>
        <w:lastRenderedPageBreak/>
        <w:t>A est</w:t>
      </w:r>
      <w:r w:rsidR="00BF5522" w:rsidRPr="006873B2">
        <w:rPr>
          <w:rFonts w:ascii="Arial" w:hAnsi="Arial" w:cs="Arial"/>
          <w:sz w:val="24"/>
          <w:szCs w:val="24"/>
          <w:lang w:eastAsia="es-CL"/>
        </w:rPr>
        <w:t xml:space="preserve">a ganancia hay que sumar US$ </w:t>
      </w:r>
      <w:r w:rsidR="00EB7797" w:rsidRPr="006873B2">
        <w:rPr>
          <w:rFonts w:ascii="Arial" w:hAnsi="Arial" w:cs="Arial"/>
          <w:sz w:val="24"/>
          <w:szCs w:val="24"/>
          <w:lang w:eastAsia="es-CL"/>
        </w:rPr>
        <w:t>287</w:t>
      </w:r>
      <w:r w:rsidRPr="006873B2">
        <w:rPr>
          <w:rFonts w:ascii="Arial" w:hAnsi="Arial" w:cs="Arial"/>
          <w:sz w:val="24"/>
          <w:szCs w:val="24"/>
          <w:lang w:eastAsia="es-CL"/>
        </w:rPr>
        <w:t xml:space="preserve"> millones por los ingresos generados por la venta de subproductos</w:t>
      </w:r>
      <w:r w:rsidR="006D2871" w:rsidRPr="006873B2">
        <w:rPr>
          <w:rFonts w:ascii="Arial" w:hAnsi="Arial" w:cs="Arial"/>
          <w:sz w:val="24"/>
          <w:szCs w:val="24"/>
          <w:lang w:eastAsia="es-CL"/>
        </w:rPr>
        <w:t xml:space="preserve"> durante el período</w:t>
      </w:r>
      <w:r w:rsidR="00D6070E" w:rsidRPr="006873B2">
        <w:rPr>
          <w:rFonts w:ascii="Arial" w:hAnsi="Arial" w:cs="Arial"/>
          <w:sz w:val="24"/>
          <w:szCs w:val="24"/>
          <w:lang w:eastAsia="es-CL"/>
        </w:rPr>
        <w:t xml:space="preserve">, los que </w:t>
      </w:r>
      <w:r w:rsidR="00EB7797" w:rsidRPr="006873B2">
        <w:rPr>
          <w:rFonts w:ascii="Arial" w:hAnsi="Arial" w:cs="Arial"/>
          <w:sz w:val="24"/>
          <w:szCs w:val="24"/>
          <w:lang w:eastAsia="es-CL"/>
        </w:rPr>
        <w:t xml:space="preserve">fueron superiores en </w:t>
      </w:r>
      <w:r w:rsidR="006873B2" w:rsidRPr="006873B2">
        <w:rPr>
          <w:rFonts w:ascii="Arial" w:hAnsi="Arial" w:cs="Arial"/>
          <w:sz w:val="24"/>
          <w:szCs w:val="24"/>
          <w:lang w:eastAsia="es-CL"/>
        </w:rPr>
        <w:t xml:space="preserve">US$ </w:t>
      </w:r>
      <w:r w:rsidR="00EB7797" w:rsidRPr="006873B2">
        <w:rPr>
          <w:rFonts w:ascii="Arial" w:hAnsi="Arial" w:cs="Arial"/>
          <w:sz w:val="24"/>
          <w:szCs w:val="24"/>
          <w:lang w:eastAsia="es-CL"/>
        </w:rPr>
        <w:t xml:space="preserve">89 millones </w:t>
      </w:r>
      <w:r w:rsidR="006873B2" w:rsidRPr="006873B2">
        <w:rPr>
          <w:rFonts w:ascii="Arial" w:hAnsi="Arial" w:cs="Arial"/>
          <w:sz w:val="24"/>
          <w:szCs w:val="24"/>
          <w:lang w:eastAsia="es-CL"/>
        </w:rPr>
        <w:t>en comparación con el año anterior</w:t>
      </w:r>
      <w:r w:rsidR="006D2871" w:rsidRPr="006873B2">
        <w:rPr>
          <w:rFonts w:ascii="Arial" w:hAnsi="Arial" w:cs="Arial"/>
          <w:sz w:val="24"/>
          <w:szCs w:val="24"/>
          <w:lang w:eastAsia="es-CL"/>
        </w:rPr>
        <w:t>.</w:t>
      </w:r>
    </w:p>
    <w:p w:rsidR="00832B56" w:rsidRPr="006873B2" w:rsidRDefault="00832B56" w:rsidP="004A55CF">
      <w:pPr>
        <w:pStyle w:val="Ttulo6"/>
        <w:spacing w:after="120"/>
        <w:ind w:right="0"/>
        <w:rPr>
          <w:rFonts w:eastAsiaTheme="minorHAnsi" w:cs="Arial"/>
          <w:sz w:val="24"/>
          <w:lang w:val="es-CL" w:eastAsia="es-CL"/>
        </w:rPr>
      </w:pPr>
      <w:r w:rsidRPr="006873B2">
        <w:rPr>
          <w:rFonts w:eastAsiaTheme="minorHAnsi" w:cs="Arial"/>
          <w:sz w:val="24"/>
          <w:lang w:val="es-CL" w:eastAsia="es-CL"/>
        </w:rPr>
        <w:t>DISTRIBUCIÓN DE EXCEDENTES</w:t>
      </w:r>
    </w:p>
    <w:p w:rsidR="00832B56" w:rsidRPr="006873B2" w:rsidRDefault="00832B56" w:rsidP="004A55CF">
      <w:pPr>
        <w:spacing w:after="120"/>
        <w:jc w:val="both"/>
        <w:rPr>
          <w:rFonts w:ascii="Arial" w:hAnsi="Arial" w:cs="Arial"/>
          <w:sz w:val="24"/>
          <w:szCs w:val="24"/>
          <w:lang w:eastAsia="es-CL"/>
        </w:rPr>
      </w:pPr>
      <w:r w:rsidRPr="006873B2">
        <w:rPr>
          <w:rFonts w:ascii="Arial" w:hAnsi="Arial" w:cs="Arial"/>
          <w:sz w:val="24"/>
          <w:szCs w:val="24"/>
          <w:lang w:eastAsia="es-CL"/>
        </w:rPr>
        <w:t>La Corporació</w:t>
      </w:r>
      <w:r w:rsidR="005063D7" w:rsidRPr="006873B2">
        <w:rPr>
          <w:rFonts w:ascii="Arial" w:hAnsi="Arial" w:cs="Arial"/>
          <w:sz w:val="24"/>
          <w:szCs w:val="24"/>
          <w:lang w:eastAsia="es-CL"/>
        </w:rPr>
        <w:t xml:space="preserve">n generó excedentes por </w:t>
      </w:r>
      <w:r w:rsidR="00BF5522" w:rsidRPr="006873B2">
        <w:rPr>
          <w:rFonts w:ascii="Arial" w:hAnsi="Arial" w:cs="Arial"/>
          <w:sz w:val="24"/>
          <w:szCs w:val="24"/>
          <w:lang w:eastAsia="es-CL"/>
        </w:rPr>
        <w:t xml:space="preserve">US$ </w:t>
      </w:r>
      <w:r w:rsidR="005063D7" w:rsidRPr="006873B2">
        <w:rPr>
          <w:rFonts w:ascii="Arial" w:hAnsi="Arial" w:cs="Arial"/>
          <w:sz w:val="24"/>
          <w:szCs w:val="24"/>
          <w:lang w:eastAsia="es-CL"/>
        </w:rPr>
        <w:t>1.310</w:t>
      </w:r>
      <w:r w:rsidRPr="006873B2">
        <w:rPr>
          <w:rFonts w:ascii="Arial" w:hAnsi="Arial" w:cs="Arial"/>
          <w:sz w:val="24"/>
          <w:szCs w:val="24"/>
          <w:lang w:eastAsia="es-CL"/>
        </w:rPr>
        <w:t xml:space="preserve"> millones </w:t>
      </w:r>
      <w:r w:rsidR="00B07FC2" w:rsidRPr="006873B2">
        <w:rPr>
          <w:rFonts w:ascii="Arial" w:hAnsi="Arial" w:cs="Arial"/>
          <w:sz w:val="24"/>
          <w:szCs w:val="24"/>
          <w:lang w:eastAsia="es-CL"/>
        </w:rPr>
        <w:t>e</w:t>
      </w:r>
      <w:r w:rsidR="00CA19FA" w:rsidRPr="006873B2">
        <w:rPr>
          <w:rFonts w:ascii="Arial" w:hAnsi="Arial" w:cs="Arial"/>
          <w:sz w:val="24"/>
          <w:szCs w:val="24"/>
          <w:lang w:eastAsia="es-CL"/>
        </w:rPr>
        <w:t xml:space="preserve">l primer </w:t>
      </w:r>
      <w:r w:rsidR="005063D7" w:rsidRPr="006873B2">
        <w:rPr>
          <w:rFonts w:ascii="Arial" w:hAnsi="Arial" w:cs="Arial"/>
          <w:sz w:val="24"/>
          <w:szCs w:val="24"/>
          <w:lang w:eastAsia="es-CL"/>
        </w:rPr>
        <w:t>semestre</w:t>
      </w:r>
      <w:r w:rsidR="00CA19FA" w:rsidRPr="006873B2">
        <w:rPr>
          <w:rFonts w:ascii="Arial" w:hAnsi="Arial" w:cs="Arial"/>
          <w:sz w:val="24"/>
          <w:szCs w:val="24"/>
          <w:lang w:eastAsia="es-CL"/>
        </w:rPr>
        <w:t xml:space="preserve"> de 2014</w:t>
      </w:r>
      <w:r w:rsidRPr="006873B2">
        <w:rPr>
          <w:rFonts w:ascii="Arial" w:hAnsi="Arial" w:cs="Arial"/>
          <w:sz w:val="24"/>
          <w:szCs w:val="24"/>
          <w:lang w:eastAsia="es-CL"/>
        </w:rPr>
        <w:t xml:space="preserve"> cuya distribución es la siguiente: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518"/>
        <w:gridCol w:w="1518"/>
      </w:tblGrid>
      <w:tr w:rsidR="00F46196" w:rsidRPr="006873B2" w:rsidTr="005252E0">
        <w:tc>
          <w:tcPr>
            <w:tcW w:w="6480" w:type="dxa"/>
          </w:tcPr>
          <w:p w:rsidR="00F46196" w:rsidRPr="006873B2" w:rsidRDefault="00F46196" w:rsidP="004A55CF">
            <w:pPr>
              <w:pStyle w:val="Textoindependiente"/>
              <w:spacing w:after="120"/>
              <w:ind w:right="0"/>
              <w:jc w:val="both"/>
              <w:rPr>
                <w:rFonts w:eastAsiaTheme="minorHAnsi" w:cs="Arial"/>
                <w:lang w:val="es-CL" w:eastAsia="es-CL"/>
              </w:rPr>
            </w:pPr>
          </w:p>
        </w:tc>
        <w:tc>
          <w:tcPr>
            <w:tcW w:w="1518" w:type="dxa"/>
          </w:tcPr>
          <w:p w:rsidR="00F46196" w:rsidRPr="006873B2" w:rsidRDefault="00CA19FA" w:rsidP="008071AE">
            <w:pPr>
              <w:pStyle w:val="Textoindependiente"/>
              <w:spacing w:before="120" w:after="120"/>
              <w:ind w:right="0"/>
              <w:jc w:val="center"/>
              <w:rPr>
                <w:rFonts w:eastAsiaTheme="minorHAnsi" w:cs="Arial"/>
                <w:b/>
                <w:lang w:val="es-CL" w:eastAsia="es-CL"/>
              </w:rPr>
            </w:pPr>
            <w:r w:rsidRPr="006873B2">
              <w:rPr>
                <w:rFonts w:eastAsiaTheme="minorHAnsi" w:cs="Arial"/>
                <w:b/>
                <w:lang w:val="es-CL" w:eastAsia="es-CL"/>
              </w:rPr>
              <w:t>2014</w:t>
            </w:r>
          </w:p>
        </w:tc>
        <w:tc>
          <w:tcPr>
            <w:tcW w:w="1518" w:type="dxa"/>
          </w:tcPr>
          <w:p w:rsidR="00F46196" w:rsidRPr="006873B2" w:rsidRDefault="00F46196" w:rsidP="00CA19FA">
            <w:pPr>
              <w:pStyle w:val="Textoindependiente"/>
              <w:spacing w:before="120" w:after="120"/>
              <w:ind w:right="0"/>
              <w:jc w:val="center"/>
              <w:rPr>
                <w:rFonts w:eastAsiaTheme="minorHAnsi" w:cs="Arial"/>
                <w:b/>
                <w:lang w:val="es-CL" w:eastAsia="es-CL"/>
              </w:rPr>
            </w:pPr>
            <w:r w:rsidRPr="006873B2">
              <w:rPr>
                <w:rFonts w:eastAsiaTheme="minorHAnsi" w:cs="Arial"/>
                <w:b/>
                <w:lang w:val="es-CL" w:eastAsia="es-CL"/>
              </w:rPr>
              <w:t>201</w:t>
            </w:r>
            <w:r w:rsidR="00CA19FA" w:rsidRPr="006873B2">
              <w:rPr>
                <w:rFonts w:eastAsiaTheme="minorHAnsi" w:cs="Arial"/>
                <w:b/>
                <w:lang w:val="es-CL" w:eastAsia="es-CL"/>
              </w:rPr>
              <w:t>3</w:t>
            </w:r>
          </w:p>
        </w:tc>
      </w:tr>
      <w:tr w:rsidR="00F46196" w:rsidRPr="006873B2" w:rsidTr="005252E0">
        <w:tc>
          <w:tcPr>
            <w:tcW w:w="6480" w:type="dxa"/>
          </w:tcPr>
          <w:p w:rsidR="00F46196" w:rsidRPr="006873B2" w:rsidRDefault="00F46196" w:rsidP="008265F8">
            <w:pPr>
              <w:spacing w:before="120" w:after="120"/>
              <w:jc w:val="both"/>
              <w:rPr>
                <w:rFonts w:cs="Arial"/>
                <w:sz w:val="24"/>
                <w:lang w:eastAsia="es-CL"/>
              </w:rPr>
            </w:pPr>
            <w:r w:rsidRPr="006873B2">
              <w:rPr>
                <w:rFonts w:ascii="Arial" w:hAnsi="Arial" w:cs="Arial"/>
                <w:sz w:val="24"/>
                <w:szCs w:val="24"/>
                <w:lang w:eastAsia="es-CL"/>
              </w:rPr>
              <w:t xml:space="preserve">Impuesto a la Ley Reservada 13.196       </w:t>
            </w:r>
          </w:p>
        </w:tc>
        <w:tc>
          <w:tcPr>
            <w:tcW w:w="1518" w:type="dxa"/>
          </w:tcPr>
          <w:p w:rsidR="00F46196" w:rsidRPr="006873B2" w:rsidRDefault="005063D7" w:rsidP="008071AE">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491</w:t>
            </w:r>
          </w:p>
        </w:tc>
        <w:tc>
          <w:tcPr>
            <w:tcW w:w="1518" w:type="dxa"/>
          </w:tcPr>
          <w:p w:rsidR="00F46196" w:rsidRPr="006873B2" w:rsidRDefault="005063D7" w:rsidP="008071AE">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590</w:t>
            </w:r>
          </w:p>
        </w:tc>
      </w:tr>
      <w:tr w:rsidR="00F46196" w:rsidRPr="006873B2" w:rsidTr="005252E0">
        <w:trPr>
          <w:trHeight w:val="525"/>
        </w:trPr>
        <w:tc>
          <w:tcPr>
            <w:tcW w:w="6480" w:type="dxa"/>
          </w:tcPr>
          <w:p w:rsidR="00F46196" w:rsidRPr="006873B2" w:rsidRDefault="00F46196" w:rsidP="007D2C96">
            <w:pPr>
              <w:pStyle w:val="Textoindependiente"/>
              <w:spacing w:before="120" w:after="120"/>
              <w:ind w:right="0"/>
              <w:jc w:val="both"/>
              <w:rPr>
                <w:rFonts w:eastAsiaTheme="minorHAnsi" w:cs="Arial"/>
                <w:lang w:val="es-CL" w:eastAsia="es-CL"/>
              </w:rPr>
            </w:pPr>
            <w:r w:rsidRPr="006873B2">
              <w:rPr>
                <w:rFonts w:eastAsiaTheme="minorHAnsi" w:cs="Arial"/>
                <w:lang w:val="es-CL" w:eastAsia="es-CL"/>
              </w:rPr>
              <w:t>Impuestos a la renta  (</w:t>
            </w:r>
            <w:r w:rsidR="007D2C96" w:rsidRPr="006873B2">
              <w:rPr>
                <w:rFonts w:eastAsiaTheme="minorHAnsi" w:cs="Arial"/>
                <w:lang w:val="es-CL" w:eastAsia="es-CL"/>
              </w:rPr>
              <w:t>60</w:t>
            </w:r>
            <w:r w:rsidRPr="006873B2">
              <w:rPr>
                <w:rFonts w:eastAsiaTheme="minorHAnsi" w:cs="Arial"/>
                <w:lang w:val="es-CL" w:eastAsia="es-CL"/>
              </w:rPr>
              <w:t>%)</w:t>
            </w:r>
          </w:p>
        </w:tc>
        <w:tc>
          <w:tcPr>
            <w:tcW w:w="1518" w:type="dxa"/>
          </w:tcPr>
          <w:p w:rsidR="00F46196" w:rsidRPr="006873B2" w:rsidRDefault="005063D7" w:rsidP="008071AE">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434</w:t>
            </w:r>
          </w:p>
        </w:tc>
        <w:tc>
          <w:tcPr>
            <w:tcW w:w="1518" w:type="dxa"/>
          </w:tcPr>
          <w:p w:rsidR="00F46196" w:rsidRPr="006873B2" w:rsidRDefault="005063D7" w:rsidP="008071AE">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637</w:t>
            </w:r>
          </w:p>
        </w:tc>
      </w:tr>
      <w:tr w:rsidR="00F46196" w:rsidRPr="006873B2" w:rsidTr="005252E0">
        <w:trPr>
          <w:trHeight w:val="504"/>
        </w:trPr>
        <w:tc>
          <w:tcPr>
            <w:tcW w:w="6480" w:type="dxa"/>
          </w:tcPr>
          <w:p w:rsidR="00F46196" w:rsidRPr="006873B2" w:rsidRDefault="00F46196" w:rsidP="004A55CF">
            <w:pPr>
              <w:spacing w:before="120" w:after="120"/>
              <w:jc w:val="both"/>
              <w:rPr>
                <w:rFonts w:ascii="Arial" w:hAnsi="Arial" w:cs="Arial"/>
                <w:sz w:val="24"/>
                <w:szCs w:val="24"/>
                <w:lang w:eastAsia="es-CL"/>
              </w:rPr>
            </w:pPr>
            <w:r w:rsidRPr="006873B2">
              <w:rPr>
                <w:rFonts w:ascii="Arial" w:hAnsi="Arial" w:cs="Arial"/>
                <w:sz w:val="24"/>
                <w:szCs w:val="24"/>
                <w:lang w:eastAsia="es-CL"/>
              </w:rPr>
              <w:t>Impuesto específico a la minería</w:t>
            </w:r>
          </w:p>
        </w:tc>
        <w:tc>
          <w:tcPr>
            <w:tcW w:w="1518" w:type="dxa"/>
          </w:tcPr>
          <w:p w:rsidR="00F46196" w:rsidRPr="006873B2" w:rsidRDefault="005063D7" w:rsidP="005063D7">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46</w:t>
            </w:r>
          </w:p>
        </w:tc>
        <w:tc>
          <w:tcPr>
            <w:tcW w:w="1518" w:type="dxa"/>
          </w:tcPr>
          <w:p w:rsidR="00F46196" w:rsidRPr="006873B2" w:rsidRDefault="005063D7" w:rsidP="008071AE">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66</w:t>
            </w:r>
          </w:p>
        </w:tc>
      </w:tr>
      <w:tr w:rsidR="00F46196" w:rsidRPr="006873B2" w:rsidTr="00F46196">
        <w:trPr>
          <w:trHeight w:val="570"/>
        </w:trPr>
        <w:tc>
          <w:tcPr>
            <w:tcW w:w="6480" w:type="dxa"/>
            <w:tcBorders>
              <w:bottom w:val="single" w:sz="4" w:space="0" w:color="auto"/>
            </w:tcBorders>
          </w:tcPr>
          <w:p w:rsidR="00F46196" w:rsidRPr="006873B2" w:rsidRDefault="00F46196" w:rsidP="004A55CF">
            <w:pPr>
              <w:pStyle w:val="Textoindependiente"/>
              <w:spacing w:before="120" w:after="120"/>
              <w:ind w:right="0"/>
              <w:jc w:val="both"/>
              <w:rPr>
                <w:rFonts w:eastAsiaTheme="minorHAnsi" w:cs="Arial"/>
                <w:lang w:val="es-CL" w:eastAsia="es-CL"/>
              </w:rPr>
            </w:pPr>
            <w:r w:rsidRPr="006873B2">
              <w:rPr>
                <w:rFonts w:eastAsiaTheme="minorHAnsi" w:cs="Arial"/>
                <w:lang w:val="es-CL" w:eastAsia="es-CL"/>
              </w:rPr>
              <w:t>Ganancia</w:t>
            </w:r>
          </w:p>
        </w:tc>
        <w:tc>
          <w:tcPr>
            <w:tcW w:w="1518" w:type="dxa"/>
            <w:tcBorders>
              <w:bottom w:val="single" w:sz="4" w:space="0" w:color="auto"/>
            </w:tcBorders>
          </w:tcPr>
          <w:p w:rsidR="00F46196" w:rsidRPr="006873B2" w:rsidRDefault="005063D7" w:rsidP="008071AE">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340</w:t>
            </w:r>
          </w:p>
        </w:tc>
        <w:tc>
          <w:tcPr>
            <w:tcW w:w="1518" w:type="dxa"/>
            <w:tcBorders>
              <w:bottom w:val="single" w:sz="4" w:space="0" w:color="auto"/>
            </w:tcBorders>
          </w:tcPr>
          <w:p w:rsidR="00F46196" w:rsidRPr="006873B2" w:rsidRDefault="005063D7" w:rsidP="008071AE">
            <w:pPr>
              <w:pStyle w:val="Textoindependiente"/>
              <w:spacing w:before="120" w:after="120"/>
              <w:ind w:right="0"/>
              <w:jc w:val="center"/>
              <w:rPr>
                <w:rFonts w:eastAsiaTheme="minorHAnsi" w:cs="Arial"/>
                <w:lang w:val="es-CL" w:eastAsia="es-CL"/>
              </w:rPr>
            </w:pPr>
            <w:r w:rsidRPr="006873B2">
              <w:rPr>
                <w:rFonts w:eastAsiaTheme="minorHAnsi" w:cs="Arial"/>
                <w:lang w:val="es-CL" w:eastAsia="es-CL"/>
              </w:rPr>
              <w:t>513</w:t>
            </w:r>
          </w:p>
        </w:tc>
      </w:tr>
      <w:tr w:rsidR="005F0513" w:rsidRPr="006873B2" w:rsidTr="008062F0">
        <w:trPr>
          <w:trHeight w:val="552"/>
        </w:trPr>
        <w:tc>
          <w:tcPr>
            <w:tcW w:w="6480" w:type="dxa"/>
            <w:tcBorders>
              <w:bottom w:val="single" w:sz="4" w:space="0" w:color="auto"/>
            </w:tcBorders>
            <w:shd w:val="clear" w:color="auto" w:fill="FFFFCC"/>
          </w:tcPr>
          <w:p w:rsidR="005F0513" w:rsidRPr="006873B2" w:rsidRDefault="005F0513" w:rsidP="00CA19FA">
            <w:pPr>
              <w:pStyle w:val="Textoindependiente"/>
              <w:spacing w:before="120" w:after="120"/>
              <w:ind w:right="0"/>
              <w:jc w:val="both"/>
              <w:rPr>
                <w:rFonts w:eastAsiaTheme="minorHAnsi" w:cs="Arial"/>
                <w:b/>
                <w:lang w:val="es-CL" w:eastAsia="es-CL"/>
              </w:rPr>
            </w:pPr>
            <w:r w:rsidRPr="006873B2">
              <w:rPr>
                <w:rFonts w:eastAsiaTheme="minorHAnsi" w:cs="Arial"/>
                <w:b/>
                <w:lang w:val="es-CL" w:eastAsia="es-CL"/>
              </w:rPr>
              <w:t xml:space="preserve">Excedentes </w:t>
            </w:r>
          </w:p>
        </w:tc>
        <w:tc>
          <w:tcPr>
            <w:tcW w:w="1518" w:type="dxa"/>
            <w:tcBorders>
              <w:bottom w:val="single" w:sz="4" w:space="0" w:color="auto"/>
            </w:tcBorders>
            <w:shd w:val="clear" w:color="auto" w:fill="FFFFCC"/>
          </w:tcPr>
          <w:p w:rsidR="005F0513" w:rsidRPr="006873B2" w:rsidRDefault="005063D7" w:rsidP="008071AE">
            <w:pPr>
              <w:pStyle w:val="Textoindependiente"/>
              <w:spacing w:before="120" w:after="120"/>
              <w:ind w:right="0"/>
              <w:jc w:val="center"/>
              <w:rPr>
                <w:rFonts w:eastAsiaTheme="minorHAnsi" w:cs="Arial"/>
                <w:b/>
                <w:lang w:val="es-CL" w:eastAsia="es-CL"/>
              </w:rPr>
            </w:pPr>
            <w:r w:rsidRPr="006873B2">
              <w:rPr>
                <w:rFonts w:eastAsiaTheme="minorHAnsi" w:cs="Arial"/>
                <w:b/>
                <w:lang w:val="es-CL" w:eastAsia="es-CL"/>
              </w:rPr>
              <w:t>1.310</w:t>
            </w:r>
          </w:p>
        </w:tc>
        <w:tc>
          <w:tcPr>
            <w:tcW w:w="1518" w:type="dxa"/>
            <w:tcBorders>
              <w:bottom w:val="single" w:sz="4" w:space="0" w:color="auto"/>
            </w:tcBorders>
            <w:shd w:val="clear" w:color="auto" w:fill="FFFFCC"/>
          </w:tcPr>
          <w:p w:rsidR="005F0513" w:rsidRPr="006873B2" w:rsidRDefault="005063D7" w:rsidP="008071AE">
            <w:pPr>
              <w:pStyle w:val="Textoindependiente"/>
              <w:spacing w:before="120" w:after="120"/>
              <w:ind w:right="0"/>
              <w:jc w:val="center"/>
              <w:rPr>
                <w:rFonts w:eastAsiaTheme="minorHAnsi" w:cs="Arial"/>
                <w:b/>
                <w:lang w:val="es-CL" w:eastAsia="es-CL"/>
              </w:rPr>
            </w:pPr>
            <w:r w:rsidRPr="006873B2">
              <w:rPr>
                <w:rFonts w:eastAsiaTheme="minorHAnsi" w:cs="Arial"/>
                <w:b/>
                <w:lang w:val="es-CL" w:eastAsia="es-CL"/>
              </w:rPr>
              <w:t>1.806</w:t>
            </w:r>
          </w:p>
        </w:tc>
      </w:tr>
      <w:tr w:rsidR="00F46196" w:rsidRPr="006873B2" w:rsidTr="00F46196">
        <w:trPr>
          <w:trHeight w:val="534"/>
        </w:trPr>
        <w:tc>
          <w:tcPr>
            <w:tcW w:w="6480" w:type="dxa"/>
            <w:shd w:val="pct15" w:color="auto" w:fill="auto"/>
          </w:tcPr>
          <w:p w:rsidR="00F46196" w:rsidRPr="006873B2" w:rsidRDefault="00F46196" w:rsidP="004A55CF">
            <w:pPr>
              <w:pStyle w:val="Textoindependiente"/>
              <w:spacing w:before="120" w:after="120"/>
              <w:ind w:right="0"/>
              <w:jc w:val="both"/>
              <w:rPr>
                <w:rFonts w:eastAsiaTheme="minorHAnsi" w:cs="Arial"/>
                <w:b/>
                <w:lang w:val="es-CL" w:eastAsia="es-CL"/>
              </w:rPr>
            </w:pPr>
            <w:r w:rsidRPr="006873B2">
              <w:rPr>
                <w:rFonts w:eastAsiaTheme="minorHAnsi" w:cs="Arial"/>
                <w:b/>
                <w:lang w:val="es-CL" w:eastAsia="es-CL"/>
              </w:rPr>
              <w:t>Ganancia comparable*</w:t>
            </w:r>
          </w:p>
        </w:tc>
        <w:tc>
          <w:tcPr>
            <w:tcW w:w="1518" w:type="dxa"/>
            <w:shd w:val="pct15" w:color="auto" w:fill="auto"/>
          </w:tcPr>
          <w:p w:rsidR="00F46196" w:rsidRPr="006873B2" w:rsidRDefault="005063D7" w:rsidP="008265F8">
            <w:pPr>
              <w:pStyle w:val="Textoindependiente"/>
              <w:spacing w:before="120" w:after="120"/>
              <w:ind w:right="0"/>
              <w:jc w:val="center"/>
              <w:rPr>
                <w:rFonts w:eastAsiaTheme="minorHAnsi" w:cs="Arial"/>
                <w:b/>
                <w:lang w:val="es-CL" w:eastAsia="es-CL"/>
              </w:rPr>
            </w:pPr>
            <w:r w:rsidRPr="006873B2">
              <w:rPr>
                <w:rFonts w:eastAsiaTheme="minorHAnsi" w:cs="Arial"/>
                <w:b/>
                <w:lang w:val="es-CL" w:eastAsia="es-CL"/>
              </w:rPr>
              <w:t>1.050</w:t>
            </w:r>
          </w:p>
        </w:tc>
        <w:tc>
          <w:tcPr>
            <w:tcW w:w="1518" w:type="dxa"/>
            <w:shd w:val="pct15" w:color="auto" w:fill="auto"/>
          </w:tcPr>
          <w:p w:rsidR="00F46196" w:rsidRPr="006873B2" w:rsidRDefault="005063D7" w:rsidP="008071AE">
            <w:pPr>
              <w:pStyle w:val="Textoindependiente"/>
              <w:spacing w:before="120" w:after="120"/>
              <w:ind w:right="0"/>
              <w:jc w:val="center"/>
              <w:rPr>
                <w:rFonts w:eastAsiaTheme="minorHAnsi" w:cs="Arial"/>
                <w:b/>
                <w:lang w:val="es-CL" w:eastAsia="es-CL"/>
              </w:rPr>
            </w:pPr>
            <w:r w:rsidRPr="006873B2">
              <w:rPr>
                <w:rFonts w:eastAsiaTheme="minorHAnsi" w:cs="Arial"/>
                <w:b/>
                <w:lang w:val="es-CL" w:eastAsia="es-CL"/>
              </w:rPr>
              <w:t>1.398</w:t>
            </w:r>
          </w:p>
        </w:tc>
      </w:tr>
    </w:tbl>
    <w:p w:rsidR="00832B56" w:rsidRPr="006873B2" w:rsidRDefault="00832B56" w:rsidP="004A55CF">
      <w:pPr>
        <w:pStyle w:val="Ttulo6"/>
        <w:spacing w:before="120" w:after="120"/>
        <w:ind w:right="0"/>
        <w:rPr>
          <w:rFonts w:eastAsiaTheme="minorHAnsi" w:cs="Arial"/>
          <w:b w:val="0"/>
          <w:sz w:val="22"/>
          <w:lang w:val="es-CL" w:eastAsia="es-CL"/>
        </w:rPr>
      </w:pPr>
      <w:r w:rsidRPr="006873B2">
        <w:rPr>
          <w:rFonts w:eastAsiaTheme="minorHAnsi" w:cs="Arial"/>
          <w:b w:val="0"/>
          <w:sz w:val="22"/>
          <w:lang w:val="es-CL" w:eastAsia="es-CL"/>
        </w:rPr>
        <w:t>* Equivale a la ganancia que obtendría Codelco, aplicando igual tributo que a las empresas privadas.</w:t>
      </w:r>
    </w:p>
    <w:p w:rsidR="00832B56" w:rsidRPr="006873B2" w:rsidRDefault="00832B56" w:rsidP="004A55CF">
      <w:pPr>
        <w:spacing w:before="240" w:after="120"/>
        <w:ind w:right="141"/>
        <w:jc w:val="both"/>
        <w:rPr>
          <w:rFonts w:ascii="Arial" w:hAnsi="Arial" w:cs="Arial"/>
          <w:b/>
          <w:sz w:val="24"/>
          <w:szCs w:val="24"/>
          <w:lang w:eastAsia="es-CL"/>
        </w:rPr>
      </w:pPr>
      <w:r w:rsidRPr="006873B2">
        <w:rPr>
          <w:rFonts w:ascii="Arial" w:hAnsi="Arial" w:cs="Arial"/>
          <w:b/>
          <w:sz w:val="24"/>
          <w:szCs w:val="24"/>
          <w:lang w:eastAsia="es-CL"/>
        </w:rPr>
        <w:t>ACCIDENTABILIDAD</w:t>
      </w:r>
    </w:p>
    <w:p w:rsidR="0020302D" w:rsidRPr="006873B2" w:rsidRDefault="00146D4B" w:rsidP="00CA19FA">
      <w:pPr>
        <w:spacing w:after="120"/>
        <w:ind w:right="141"/>
        <w:jc w:val="both"/>
        <w:rPr>
          <w:rFonts w:ascii="Arial" w:hAnsi="Arial" w:cs="Arial"/>
          <w:sz w:val="24"/>
          <w:szCs w:val="24"/>
          <w:lang w:eastAsia="es-CL"/>
        </w:rPr>
      </w:pPr>
      <w:r w:rsidRPr="006873B2">
        <w:rPr>
          <w:rFonts w:ascii="Arial" w:hAnsi="Arial" w:cs="Arial"/>
          <w:sz w:val="24"/>
          <w:szCs w:val="24"/>
          <w:lang w:eastAsia="es-CL"/>
        </w:rPr>
        <w:t>Codelco no ha tenido accidente</w:t>
      </w:r>
      <w:r w:rsidR="0097440A" w:rsidRPr="006873B2">
        <w:rPr>
          <w:rFonts w:ascii="Arial" w:hAnsi="Arial" w:cs="Arial"/>
          <w:sz w:val="24"/>
          <w:szCs w:val="24"/>
          <w:lang w:eastAsia="es-CL"/>
        </w:rPr>
        <w:t>s</w:t>
      </w:r>
      <w:r w:rsidRPr="006873B2">
        <w:rPr>
          <w:rFonts w:ascii="Arial" w:hAnsi="Arial" w:cs="Arial"/>
          <w:sz w:val="24"/>
          <w:szCs w:val="24"/>
          <w:lang w:eastAsia="es-CL"/>
        </w:rPr>
        <w:t xml:space="preserve"> fatal</w:t>
      </w:r>
      <w:r w:rsidR="0097440A" w:rsidRPr="006873B2">
        <w:rPr>
          <w:rFonts w:ascii="Arial" w:hAnsi="Arial" w:cs="Arial"/>
          <w:sz w:val="24"/>
          <w:szCs w:val="24"/>
          <w:lang w:eastAsia="es-CL"/>
        </w:rPr>
        <w:t>es en 2014</w:t>
      </w:r>
      <w:r w:rsidR="00B95E3A">
        <w:rPr>
          <w:rFonts w:ascii="Arial" w:hAnsi="Arial" w:cs="Arial"/>
          <w:sz w:val="24"/>
          <w:szCs w:val="24"/>
          <w:lang w:eastAsia="es-CL"/>
        </w:rPr>
        <w:t xml:space="preserve">. </w:t>
      </w:r>
      <w:r w:rsidR="0097440A" w:rsidRPr="006873B2">
        <w:rPr>
          <w:rFonts w:ascii="Arial" w:hAnsi="Arial" w:cs="Arial"/>
          <w:sz w:val="24"/>
          <w:szCs w:val="24"/>
          <w:lang w:eastAsia="es-CL"/>
        </w:rPr>
        <w:t>En el primer trimestre, l</w:t>
      </w:r>
      <w:r w:rsidR="00832B56" w:rsidRPr="006873B2">
        <w:rPr>
          <w:rFonts w:ascii="Arial" w:hAnsi="Arial" w:cs="Arial"/>
          <w:sz w:val="24"/>
          <w:szCs w:val="24"/>
          <w:lang w:eastAsia="es-CL"/>
        </w:rPr>
        <w:t xml:space="preserve">a tasa global de frecuencia de accidentes, que considera personal propio y de empresas contratistas, alcanzó </w:t>
      </w:r>
      <w:r w:rsidR="0097440A" w:rsidRPr="006873B2">
        <w:rPr>
          <w:rFonts w:ascii="Arial" w:hAnsi="Arial" w:cs="Arial"/>
          <w:sz w:val="24"/>
          <w:szCs w:val="24"/>
          <w:lang w:eastAsia="es-CL"/>
        </w:rPr>
        <w:t>a</w:t>
      </w:r>
      <w:r w:rsidR="0009449F" w:rsidRPr="006873B2">
        <w:rPr>
          <w:rFonts w:ascii="Arial" w:hAnsi="Arial" w:cs="Arial"/>
          <w:sz w:val="24"/>
          <w:szCs w:val="24"/>
          <w:lang w:eastAsia="es-CL"/>
        </w:rPr>
        <w:t xml:space="preserve"> </w:t>
      </w:r>
      <w:r w:rsidR="00CA19FA" w:rsidRPr="006873B2">
        <w:rPr>
          <w:rFonts w:ascii="Arial" w:hAnsi="Arial" w:cs="Arial"/>
          <w:sz w:val="24"/>
          <w:szCs w:val="24"/>
          <w:lang w:eastAsia="es-CL"/>
        </w:rPr>
        <w:t>1,</w:t>
      </w:r>
      <w:r w:rsidR="005063D7" w:rsidRPr="006873B2">
        <w:rPr>
          <w:rFonts w:ascii="Arial" w:hAnsi="Arial" w:cs="Arial"/>
          <w:sz w:val="24"/>
          <w:szCs w:val="24"/>
          <w:lang w:eastAsia="es-CL"/>
        </w:rPr>
        <w:t xml:space="preserve">43 </w:t>
      </w:r>
      <w:r w:rsidR="0097440A" w:rsidRPr="006873B2">
        <w:rPr>
          <w:rFonts w:ascii="Arial" w:hAnsi="Arial" w:cs="Arial"/>
          <w:sz w:val="24"/>
          <w:szCs w:val="24"/>
          <w:lang w:eastAsia="es-CL"/>
        </w:rPr>
        <w:t xml:space="preserve">accidentes con tiempo perdido por cada millón de horas persona </w:t>
      </w:r>
      <w:proofErr w:type="gramStart"/>
      <w:r w:rsidR="0097440A" w:rsidRPr="006873B2">
        <w:rPr>
          <w:rFonts w:ascii="Arial" w:hAnsi="Arial" w:cs="Arial"/>
          <w:sz w:val="24"/>
          <w:szCs w:val="24"/>
          <w:lang w:eastAsia="es-CL"/>
        </w:rPr>
        <w:t>trabajadas</w:t>
      </w:r>
      <w:proofErr w:type="gramEnd"/>
      <w:r w:rsidR="00CA19FA" w:rsidRPr="006873B2">
        <w:rPr>
          <w:rFonts w:ascii="Arial" w:hAnsi="Arial" w:cs="Arial"/>
          <w:sz w:val="24"/>
          <w:szCs w:val="24"/>
          <w:lang w:eastAsia="es-CL"/>
        </w:rPr>
        <w:t>.</w:t>
      </w:r>
      <w:r w:rsidR="00832B56" w:rsidRPr="006873B2">
        <w:rPr>
          <w:rFonts w:ascii="Arial" w:hAnsi="Arial" w:cs="Arial"/>
          <w:sz w:val="24"/>
          <w:szCs w:val="24"/>
          <w:lang w:eastAsia="es-CL"/>
        </w:rPr>
        <w:t xml:space="preserve"> </w:t>
      </w:r>
    </w:p>
    <w:p w:rsidR="00EE3E2B" w:rsidRPr="006873B2" w:rsidRDefault="0022796F" w:rsidP="00CA19FA">
      <w:pPr>
        <w:jc w:val="both"/>
        <w:rPr>
          <w:rFonts w:ascii="Arial" w:hAnsi="Arial" w:cs="Arial"/>
          <w:sz w:val="24"/>
          <w:szCs w:val="24"/>
          <w:lang w:eastAsia="es-CL"/>
        </w:rPr>
      </w:pPr>
      <w:r w:rsidRPr="006873B2">
        <w:rPr>
          <w:rFonts w:ascii="Arial" w:hAnsi="Arial" w:cs="Arial"/>
          <w:bCs/>
          <w:sz w:val="24"/>
          <w:szCs w:val="24"/>
          <w:lang w:eastAsia="es-CL"/>
        </w:rPr>
        <w:t xml:space="preserve">Durante el período, </w:t>
      </w:r>
      <w:r w:rsidR="00CA19FA" w:rsidRPr="006873B2">
        <w:rPr>
          <w:rFonts w:ascii="Arial" w:hAnsi="Arial" w:cs="Arial"/>
          <w:bCs/>
          <w:sz w:val="24"/>
          <w:szCs w:val="24"/>
          <w:lang w:eastAsia="es-CL"/>
        </w:rPr>
        <w:t xml:space="preserve">Codelco ha centrado su foco en  tres líneas de acción que son parte del </w:t>
      </w:r>
      <w:r w:rsidRPr="006873B2">
        <w:rPr>
          <w:rFonts w:ascii="Arial" w:hAnsi="Arial" w:cs="Arial"/>
          <w:bCs/>
          <w:sz w:val="24"/>
          <w:szCs w:val="24"/>
          <w:lang w:eastAsia="es-CL"/>
        </w:rPr>
        <w:t>Proyecto Estructural de Seguridad y Salud Ocupacional</w:t>
      </w:r>
      <w:r w:rsidR="008070D9" w:rsidRPr="006873B2">
        <w:rPr>
          <w:rFonts w:ascii="Arial" w:hAnsi="Arial" w:cs="Arial"/>
          <w:bCs/>
          <w:sz w:val="24"/>
          <w:szCs w:val="24"/>
          <w:lang w:eastAsia="es-CL"/>
        </w:rPr>
        <w:t xml:space="preserve">: </w:t>
      </w:r>
      <w:r w:rsidRPr="006873B2">
        <w:rPr>
          <w:rFonts w:ascii="Arial" w:hAnsi="Arial" w:cs="Arial"/>
          <w:bCs/>
          <w:sz w:val="24"/>
          <w:szCs w:val="24"/>
          <w:lang w:eastAsia="es-CL"/>
        </w:rPr>
        <w:t>implementación de control</w:t>
      </w:r>
      <w:r w:rsidR="008070D9" w:rsidRPr="006873B2">
        <w:rPr>
          <w:rFonts w:ascii="Arial" w:hAnsi="Arial" w:cs="Arial"/>
          <w:bCs/>
          <w:sz w:val="24"/>
          <w:szCs w:val="24"/>
          <w:lang w:eastAsia="es-CL"/>
        </w:rPr>
        <w:t xml:space="preserve">es a riesgos críticos definidos; </w:t>
      </w:r>
      <w:r w:rsidRPr="006873B2">
        <w:rPr>
          <w:rFonts w:ascii="Arial" w:hAnsi="Arial" w:cs="Arial"/>
          <w:bCs/>
          <w:sz w:val="24"/>
          <w:szCs w:val="24"/>
          <w:lang w:eastAsia="es-CL"/>
        </w:rPr>
        <w:t>cumplimiento del reglamento especial de seguridad y salud ocupacional para empresas contratistas y subcontratistas</w:t>
      </w:r>
      <w:r w:rsidR="008070D9" w:rsidRPr="006873B2">
        <w:rPr>
          <w:rFonts w:ascii="Arial" w:hAnsi="Arial" w:cs="Arial"/>
          <w:bCs/>
          <w:sz w:val="24"/>
          <w:szCs w:val="24"/>
          <w:lang w:eastAsia="es-CL"/>
        </w:rPr>
        <w:t xml:space="preserve"> </w:t>
      </w:r>
      <w:r w:rsidRPr="006873B2">
        <w:rPr>
          <w:rFonts w:ascii="Arial" w:hAnsi="Arial" w:cs="Arial"/>
          <w:bCs/>
          <w:sz w:val="24"/>
          <w:szCs w:val="24"/>
          <w:lang w:eastAsia="es-CL"/>
        </w:rPr>
        <w:t xml:space="preserve"> y continua</w:t>
      </w:r>
      <w:r w:rsidR="008070D9" w:rsidRPr="006873B2">
        <w:rPr>
          <w:rFonts w:ascii="Arial" w:hAnsi="Arial" w:cs="Arial"/>
          <w:bCs/>
          <w:sz w:val="24"/>
          <w:szCs w:val="24"/>
          <w:lang w:eastAsia="es-CL"/>
        </w:rPr>
        <w:t xml:space="preserve">r con la </w:t>
      </w:r>
      <w:r w:rsidRPr="006873B2">
        <w:rPr>
          <w:rFonts w:ascii="Arial" w:hAnsi="Arial" w:cs="Arial"/>
          <w:bCs/>
          <w:sz w:val="24"/>
          <w:szCs w:val="24"/>
          <w:lang w:eastAsia="es-CL"/>
        </w:rPr>
        <w:t xml:space="preserve"> </w:t>
      </w:r>
      <w:proofErr w:type="spellStart"/>
      <w:r w:rsidRPr="006873B2">
        <w:rPr>
          <w:rFonts w:ascii="Arial" w:hAnsi="Arial" w:cs="Arial"/>
          <w:bCs/>
          <w:sz w:val="24"/>
          <w:szCs w:val="24"/>
          <w:lang w:eastAsia="es-CL"/>
        </w:rPr>
        <w:t>reportabilidad</w:t>
      </w:r>
      <w:proofErr w:type="spellEnd"/>
      <w:r w:rsidRPr="006873B2">
        <w:rPr>
          <w:rFonts w:ascii="Arial" w:hAnsi="Arial" w:cs="Arial"/>
          <w:bCs/>
          <w:sz w:val="24"/>
          <w:szCs w:val="24"/>
          <w:lang w:eastAsia="es-CL"/>
        </w:rPr>
        <w:t xml:space="preserve"> y aprendizaje </w:t>
      </w:r>
      <w:r w:rsidR="008070D9" w:rsidRPr="006873B2">
        <w:rPr>
          <w:rFonts w:ascii="Arial" w:hAnsi="Arial" w:cs="Arial"/>
          <w:bCs/>
          <w:sz w:val="24"/>
          <w:szCs w:val="24"/>
          <w:lang w:eastAsia="es-CL"/>
        </w:rPr>
        <w:t xml:space="preserve">a partir </w:t>
      </w:r>
      <w:r w:rsidRPr="006873B2">
        <w:rPr>
          <w:rFonts w:ascii="Arial" w:hAnsi="Arial" w:cs="Arial"/>
          <w:bCs/>
          <w:sz w:val="24"/>
          <w:szCs w:val="24"/>
          <w:lang w:eastAsia="es-CL"/>
        </w:rPr>
        <w:t>de los Incidentes.</w:t>
      </w:r>
    </w:p>
    <w:p w:rsidR="007F0A26" w:rsidRPr="006873B2" w:rsidRDefault="00467A66" w:rsidP="000E5260">
      <w:pPr>
        <w:spacing w:before="240"/>
        <w:jc w:val="right"/>
      </w:pPr>
      <w:r w:rsidRPr="006873B2">
        <w:rPr>
          <w:rFonts w:ascii="Arial" w:hAnsi="Arial" w:cs="Arial"/>
          <w:b/>
          <w:sz w:val="24"/>
          <w:szCs w:val="24"/>
        </w:rPr>
        <w:t>Gerencia de Comunicaciones</w:t>
      </w:r>
    </w:p>
    <w:sectPr w:rsidR="007F0A26" w:rsidRPr="006873B2" w:rsidSect="00CB3B90">
      <w:headerReference w:type="default" r:id="rId9"/>
      <w:footerReference w:type="default" r:id="rId10"/>
      <w:pgSz w:w="12240" w:h="15840"/>
      <w:pgMar w:top="1417" w:right="104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37" w:rsidRDefault="00946A37" w:rsidP="00CB3B90">
      <w:pPr>
        <w:spacing w:after="0"/>
      </w:pPr>
      <w:r>
        <w:separator/>
      </w:r>
    </w:p>
  </w:endnote>
  <w:endnote w:type="continuationSeparator" w:id="0">
    <w:p w:rsidR="00946A37" w:rsidRDefault="00946A37" w:rsidP="00CB3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90" w:rsidRPr="00CB3B90" w:rsidRDefault="00CB3B90" w:rsidP="00CB3B90">
    <w:pPr>
      <w:pStyle w:val="Piedepgina"/>
      <w:jc w:val="center"/>
      <w:rPr>
        <w:rFonts w:ascii="Arial Narrow" w:hAnsi="Arial Narrow"/>
        <w:sz w:val="14"/>
      </w:rPr>
    </w:pPr>
    <w:r w:rsidRPr="00CB3B90">
      <w:rPr>
        <w:rFonts w:ascii="Arial Narrow" w:hAnsi="Arial Narrow"/>
        <w:sz w:val="14"/>
      </w:rPr>
      <w:t>Casa Matriz     |    Chuquicamata    |    Radomiro Tomic   |    Gabriela Mistral   |     Ministro Hales     |    Salvador    |    Ventanas      |     Andina    |    El Teniente    |    VP</w:t>
    </w:r>
  </w:p>
  <w:p w:rsidR="00CB3B90" w:rsidRDefault="00CB3B90" w:rsidP="00CB3B90">
    <w:pPr>
      <w:pStyle w:val="Piedepgina"/>
      <w:rPr>
        <w:rFonts w:ascii="Arial" w:hAnsi="Arial"/>
        <w:sz w:val="14"/>
      </w:rPr>
    </w:pPr>
  </w:p>
  <w:p w:rsidR="00CB3B90" w:rsidRDefault="00CB3B90" w:rsidP="00CB3B90">
    <w:pPr>
      <w:pStyle w:val="Piedepgina"/>
      <w:jc w:val="center"/>
    </w:pPr>
    <w:r>
      <w:rPr>
        <w:rFonts w:ascii="Arial" w:hAnsi="Arial"/>
        <w:noProof/>
        <w:sz w:val="14"/>
        <w:lang w:eastAsia="es-CL"/>
      </w:rPr>
      <w:drawing>
        <wp:inline distT="0" distB="0" distL="0" distR="0">
          <wp:extent cx="3248025" cy="352425"/>
          <wp:effectExtent l="19050" t="0" r="9525" b="0"/>
          <wp:docPr id="4" name="Imagen 4" desc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
                  <pic:cNvPicPr>
                    <a:picLocks noChangeAspect="1" noChangeArrowheads="1"/>
                  </pic:cNvPicPr>
                </pic:nvPicPr>
                <pic:blipFill>
                  <a:blip r:embed="rId1"/>
                  <a:srcRect/>
                  <a:stretch>
                    <a:fillRect/>
                  </a:stretch>
                </pic:blipFill>
                <pic:spPr bwMode="auto">
                  <a:xfrm>
                    <a:off x="0" y="0"/>
                    <a:ext cx="3248025" cy="352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37" w:rsidRDefault="00946A37" w:rsidP="00CB3B90">
      <w:pPr>
        <w:spacing w:after="0"/>
      </w:pPr>
      <w:r>
        <w:separator/>
      </w:r>
    </w:p>
  </w:footnote>
  <w:footnote w:type="continuationSeparator" w:id="0">
    <w:p w:rsidR="00946A37" w:rsidRDefault="00946A37" w:rsidP="00CB3B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Ind w:w="140" w:type="dxa"/>
      <w:tblLayout w:type="fixed"/>
      <w:tblCellMar>
        <w:left w:w="70" w:type="dxa"/>
        <w:right w:w="70" w:type="dxa"/>
      </w:tblCellMar>
      <w:tblLook w:val="0000" w:firstRow="0" w:lastRow="0" w:firstColumn="0" w:lastColumn="0" w:noHBand="0" w:noVBand="0"/>
    </w:tblPr>
    <w:tblGrid>
      <w:gridCol w:w="525"/>
      <w:gridCol w:w="5756"/>
      <w:gridCol w:w="526"/>
      <w:gridCol w:w="3015"/>
      <w:gridCol w:w="524"/>
    </w:tblGrid>
    <w:tr w:rsidR="00CB3B90" w:rsidTr="001F61BB">
      <w:trPr>
        <w:gridAfter w:val="1"/>
        <w:wAfter w:w="524" w:type="dxa"/>
        <w:cantSplit/>
        <w:trHeight w:val="1397"/>
        <w:jc w:val="center"/>
      </w:trPr>
      <w:tc>
        <w:tcPr>
          <w:tcW w:w="6281" w:type="dxa"/>
          <w:gridSpan w:val="2"/>
        </w:tcPr>
        <w:p w:rsidR="00CB3B90" w:rsidRDefault="005353DA" w:rsidP="006D478D">
          <w:pPr>
            <w:pStyle w:val="Encabezado"/>
            <w:ind w:left="-70"/>
          </w:pPr>
          <w:r>
            <w:rPr>
              <w:noProof/>
              <w:lang w:eastAsia="es-CL"/>
            </w:rPr>
            <mc:AlternateContent>
              <mc:Choice Requires="wps">
                <w:drawing>
                  <wp:anchor distT="0" distB="0" distL="114296" distR="114296" simplePos="0" relativeHeight="251660288" behindDoc="0" locked="0" layoutInCell="1" allowOverlap="1">
                    <wp:simplePos x="0" y="0"/>
                    <wp:positionH relativeFrom="column">
                      <wp:posOffset>3831589</wp:posOffset>
                    </wp:positionH>
                    <wp:positionV relativeFrom="paragraph">
                      <wp:posOffset>25400</wp:posOffset>
                    </wp:positionV>
                    <wp:extent cx="0" cy="962025"/>
                    <wp:effectExtent l="0" t="0" r="1905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19050">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01.7pt;margin-top:2pt;width:0;height:75.75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" strokecolor="#974706" strokeweight="1.5pt"/>
                </w:pict>
              </mc:Fallback>
            </mc:AlternateContent>
          </w:r>
          <w:r w:rsidR="00CB3B90">
            <w:rPr>
              <w:noProof/>
              <w:lang w:eastAsia="es-CL"/>
            </w:rPr>
            <w:drawing>
              <wp:inline distT="0" distB="0" distL="0" distR="0">
                <wp:extent cx="1333500" cy="1000125"/>
                <wp:effectExtent l="19050" t="0" r="0" b="0"/>
                <wp:docPr id="1" name="Imagen 1" descr="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
                        <pic:cNvPicPr>
                          <a:picLocks noChangeAspect="1" noChangeArrowheads="1"/>
                        </pic:cNvPicPr>
                      </pic:nvPicPr>
                      <pic:blipFill>
                        <a:blip r:embed="rId1"/>
                        <a:srcRect/>
                        <a:stretch>
                          <a:fillRect/>
                        </a:stretch>
                      </pic:blipFill>
                      <pic:spPr bwMode="auto">
                        <a:xfrm>
                          <a:off x="0" y="0"/>
                          <a:ext cx="1333500" cy="1000125"/>
                        </a:xfrm>
                        <a:prstGeom prst="rect">
                          <a:avLst/>
                        </a:prstGeom>
                        <a:noFill/>
                        <a:ln w="9525">
                          <a:noFill/>
                          <a:miter lim="800000"/>
                          <a:headEnd/>
                          <a:tailEnd/>
                        </a:ln>
                      </pic:spPr>
                    </pic:pic>
                  </a:graphicData>
                </a:graphic>
              </wp:inline>
            </w:drawing>
          </w:r>
        </w:p>
      </w:tc>
      <w:tc>
        <w:tcPr>
          <w:tcW w:w="3541" w:type="dxa"/>
          <w:gridSpan w:val="2"/>
          <w:vAlign w:val="center"/>
        </w:tcPr>
        <w:p w:rsidR="00CB3B90" w:rsidRDefault="00CB3B90" w:rsidP="006D478D">
          <w:pPr>
            <w:pStyle w:val="Encabezado"/>
            <w:rPr>
              <w:rFonts w:ascii="Arial" w:hAnsi="Arial"/>
              <w:b/>
              <w:sz w:val="16"/>
            </w:rPr>
          </w:pPr>
          <w:r>
            <w:rPr>
              <w:rFonts w:ascii="Arial" w:hAnsi="Arial"/>
              <w:b/>
              <w:sz w:val="16"/>
            </w:rPr>
            <w:t>Corporación Nacional del Cobre de Chile</w:t>
          </w:r>
        </w:p>
        <w:p w:rsidR="00CB3B90" w:rsidRPr="00A976C5" w:rsidRDefault="00CB3B90" w:rsidP="006D478D">
          <w:pPr>
            <w:pStyle w:val="Encabezado"/>
            <w:rPr>
              <w:rFonts w:ascii="Arial" w:hAnsi="Arial"/>
              <w:sz w:val="16"/>
            </w:rPr>
          </w:pPr>
          <w:r w:rsidRPr="00A976C5">
            <w:rPr>
              <w:rFonts w:ascii="Arial" w:hAnsi="Arial"/>
              <w:sz w:val="16"/>
            </w:rPr>
            <w:t>www.codelco.com</w:t>
          </w:r>
        </w:p>
        <w:p w:rsidR="00CB3B90" w:rsidRDefault="00CB3B90" w:rsidP="006D478D">
          <w:pPr>
            <w:pStyle w:val="Encabezado"/>
            <w:rPr>
              <w:rFonts w:ascii="Arial" w:hAnsi="Arial"/>
              <w:b/>
              <w:sz w:val="16"/>
            </w:rPr>
          </w:pPr>
        </w:p>
        <w:p w:rsidR="00CB3B90" w:rsidRDefault="00CB3B90" w:rsidP="006D478D">
          <w:pPr>
            <w:pStyle w:val="Encabezado"/>
            <w:rPr>
              <w:rFonts w:ascii="Arial" w:hAnsi="Arial"/>
              <w:b/>
              <w:sz w:val="16"/>
            </w:rPr>
          </w:pPr>
        </w:p>
        <w:p w:rsidR="00CB3B90" w:rsidRDefault="00CB3B90" w:rsidP="006D478D">
          <w:pPr>
            <w:pStyle w:val="Encabezado"/>
            <w:rPr>
              <w:rFonts w:ascii="Arial" w:hAnsi="Arial"/>
              <w:b/>
              <w:sz w:val="16"/>
            </w:rPr>
          </w:pPr>
        </w:p>
        <w:p w:rsidR="00CB3B90" w:rsidRPr="00E524D2" w:rsidRDefault="00CB3B90" w:rsidP="006D478D">
          <w:pPr>
            <w:pStyle w:val="Encabezado"/>
            <w:rPr>
              <w:rFonts w:ascii="Arial" w:hAnsi="Arial"/>
              <w:b/>
              <w:sz w:val="16"/>
            </w:rPr>
          </w:pPr>
        </w:p>
        <w:p w:rsidR="00CB3B90" w:rsidRPr="004B35B6" w:rsidRDefault="00CB3B90" w:rsidP="006D478D">
          <w:pPr>
            <w:pStyle w:val="Encabezado"/>
            <w:rPr>
              <w:rFonts w:ascii="Arial" w:hAnsi="Arial"/>
              <w:sz w:val="14"/>
              <w:lang w:val="pt-BR"/>
            </w:rPr>
          </w:pPr>
          <w:proofErr w:type="spellStart"/>
          <w:r w:rsidRPr="004B35B6">
            <w:rPr>
              <w:rFonts w:ascii="Arial" w:hAnsi="Arial"/>
              <w:sz w:val="14"/>
              <w:lang w:val="pt-BR"/>
            </w:rPr>
            <w:t>Huérfanos</w:t>
          </w:r>
          <w:proofErr w:type="spellEnd"/>
          <w:r w:rsidRPr="004B35B6">
            <w:rPr>
              <w:rFonts w:ascii="Arial" w:hAnsi="Arial"/>
              <w:sz w:val="14"/>
              <w:lang w:val="pt-BR"/>
            </w:rPr>
            <w:t xml:space="preserve"> 1270</w:t>
          </w:r>
        </w:p>
        <w:p w:rsidR="00CB3B90" w:rsidRPr="004B35B6" w:rsidRDefault="00CB3B90" w:rsidP="006D478D">
          <w:pPr>
            <w:pStyle w:val="Encabezado"/>
            <w:rPr>
              <w:rFonts w:ascii="Arial" w:hAnsi="Arial"/>
              <w:sz w:val="14"/>
              <w:lang w:val="pt-BR"/>
            </w:rPr>
          </w:pPr>
          <w:proofErr w:type="spellStart"/>
          <w:r w:rsidRPr="004B35B6">
            <w:rPr>
              <w:rFonts w:ascii="Arial" w:hAnsi="Arial"/>
              <w:sz w:val="14"/>
              <w:lang w:val="pt-BR"/>
            </w:rPr>
            <w:t>Casilla</w:t>
          </w:r>
          <w:proofErr w:type="spellEnd"/>
          <w:r w:rsidRPr="004B35B6">
            <w:rPr>
              <w:rFonts w:ascii="Arial" w:hAnsi="Arial"/>
              <w:sz w:val="14"/>
              <w:lang w:val="pt-BR"/>
            </w:rPr>
            <w:t xml:space="preserve"> 150-D</w:t>
          </w:r>
        </w:p>
        <w:p w:rsidR="00CB3B90" w:rsidRDefault="00CB3B90" w:rsidP="006D478D">
          <w:pPr>
            <w:pStyle w:val="Encabezado"/>
            <w:rPr>
              <w:rFonts w:ascii="Arial" w:hAnsi="Arial"/>
              <w:sz w:val="14"/>
            </w:rPr>
          </w:pPr>
          <w:r w:rsidRPr="004B35B6">
            <w:rPr>
              <w:rFonts w:ascii="Arial" w:hAnsi="Arial"/>
              <w:sz w:val="14"/>
              <w:lang w:val="pt-BR"/>
            </w:rPr>
            <w:t>Santiago, Chile</w:t>
          </w:r>
        </w:p>
      </w:tc>
    </w:tr>
    <w:tr w:rsidR="00CB3B90" w:rsidTr="001F61BB">
      <w:trPr>
        <w:gridBefore w:val="1"/>
        <w:wBefore w:w="525" w:type="dxa"/>
        <w:cantSplit/>
        <w:trHeight w:val="254"/>
        <w:jc w:val="center"/>
      </w:trPr>
      <w:tc>
        <w:tcPr>
          <w:tcW w:w="6282" w:type="dxa"/>
          <w:gridSpan w:val="2"/>
        </w:tcPr>
        <w:p w:rsidR="00CB3B90" w:rsidRPr="00EC6A3D" w:rsidRDefault="00CB3B90" w:rsidP="006D478D">
          <w:pPr>
            <w:pStyle w:val="Encabezado"/>
            <w:rPr>
              <w:noProof/>
              <w:lang w:eastAsia="es-CL"/>
            </w:rPr>
          </w:pPr>
        </w:p>
      </w:tc>
      <w:tc>
        <w:tcPr>
          <w:tcW w:w="3539" w:type="dxa"/>
          <w:gridSpan w:val="2"/>
          <w:vAlign w:val="center"/>
        </w:tcPr>
        <w:p w:rsidR="00CB3B90" w:rsidRDefault="00CB3B90" w:rsidP="006D478D">
          <w:pPr>
            <w:pStyle w:val="Encabezado"/>
            <w:rPr>
              <w:rFonts w:ascii="Arial" w:hAnsi="Arial"/>
              <w:b/>
              <w:sz w:val="16"/>
            </w:rPr>
          </w:pPr>
        </w:p>
      </w:tc>
    </w:tr>
  </w:tbl>
  <w:p w:rsidR="00CB3B90" w:rsidRDefault="00CB3B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29ED"/>
    <w:multiLevelType w:val="hybridMultilevel"/>
    <w:tmpl w:val="2B1C51F8"/>
    <w:lvl w:ilvl="0" w:tplc="1BA040FE">
      <w:start w:val="1"/>
      <w:numFmt w:val="bullet"/>
      <w:lvlText w:val="•"/>
      <w:lvlJc w:val="left"/>
      <w:pPr>
        <w:tabs>
          <w:tab w:val="num" w:pos="720"/>
        </w:tabs>
        <w:ind w:left="720" w:hanging="360"/>
      </w:pPr>
      <w:rPr>
        <w:rFonts w:ascii="Arial" w:hAnsi="Arial" w:hint="default"/>
      </w:rPr>
    </w:lvl>
    <w:lvl w:ilvl="1" w:tplc="BF4075C2" w:tentative="1">
      <w:start w:val="1"/>
      <w:numFmt w:val="bullet"/>
      <w:lvlText w:val="•"/>
      <w:lvlJc w:val="left"/>
      <w:pPr>
        <w:tabs>
          <w:tab w:val="num" w:pos="1440"/>
        </w:tabs>
        <w:ind w:left="1440" w:hanging="360"/>
      </w:pPr>
      <w:rPr>
        <w:rFonts w:ascii="Arial" w:hAnsi="Arial" w:hint="default"/>
      </w:rPr>
    </w:lvl>
    <w:lvl w:ilvl="2" w:tplc="3752D33E" w:tentative="1">
      <w:start w:val="1"/>
      <w:numFmt w:val="bullet"/>
      <w:lvlText w:val="•"/>
      <w:lvlJc w:val="left"/>
      <w:pPr>
        <w:tabs>
          <w:tab w:val="num" w:pos="2160"/>
        </w:tabs>
        <w:ind w:left="2160" w:hanging="360"/>
      </w:pPr>
      <w:rPr>
        <w:rFonts w:ascii="Arial" w:hAnsi="Arial" w:hint="default"/>
      </w:rPr>
    </w:lvl>
    <w:lvl w:ilvl="3" w:tplc="700C0EB8" w:tentative="1">
      <w:start w:val="1"/>
      <w:numFmt w:val="bullet"/>
      <w:lvlText w:val="•"/>
      <w:lvlJc w:val="left"/>
      <w:pPr>
        <w:tabs>
          <w:tab w:val="num" w:pos="2880"/>
        </w:tabs>
        <w:ind w:left="2880" w:hanging="360"/>
      </w:pPr>
      <w:rPr>
        <w:rFonts w:ascii="Arial" w:hAnsi="Arial" w:hint="default"/>
      </w:rPr>
    </w:lvl>
    <w:lvl w:ilvl="4" w:tplc="1390D022" w:tentative="1">
      <w:start w:val="1"/>
      <w:numFmt w:val="bullet"/>
      <w:lvlText w:val="•"/>
      <w:lvlJc w:val="left"/>
      <w:pPr>
        <w:tabs>
          <w:tab w:val="num" w:pos="3600"/>
        </w:tabs>
        <w:ind w:left="3600" w:hanging="360"/>
      </w:pPr>
      <w:rPr>
        <w:rFonts w:ascii="Arial" w:hAnsi="Arial" w:hint="default"/>
      </w:rPr>
    </w:lvl>
    <w:lvl w:ilvl="5" w:tplc="3BEAFAE6" w:tentative="1">
      <w:start w:val="1"/>
      <w:numFmt w:val="bullet"/>
      <w:lvlText w:val="•"/>
      <w:lvlJc w:val="left"/>
      <w:pPr>
        <w:tabs>
          <w:tab w:val="num" w:pos="4320"/>
        </w:tabs>
        <w:ind w:left="4320" w:hanging="360"/>
      </w:pPr>
      <w:rPr>
        <w:rFonts w:ascii="Arial" w:hAnsi="Arial" w:hint="default"/>
      </w:rPr>
    </w:lvl>
    <w:lvl w:ilvl="6" w:tplc="FB0A40AE" w:tentative="1">
      <w:start w:val="1"/>
      <w:numFmt w:val="bullet"/>
      <w:lvlText w:val="•"/>
      <w:lvlJc w:val="left"/>
      <w:pPr>
        <w:tabs>
          <w:tab w:val="num" w:pos="5040"/>
        </w:tabs>
        <w:ind w:left="5040" w:hanging="360"/>
      </w:pPr>
      <w:rPr>
        <w:rFonts w:ascii="Arial" w:hAnsi="Arial" w:hint="default"/>
      </w:rPr>
    </w:lvl>
    <w:lvl w:ilvl="7" w:tplc="9E70D01C" w:tentative="1">
      <w:start w:val="1"/>
      <w:numFmt w:val="bullet"/>
      <w:lvlText w:val="•"/>
      <w:lvlJc w:val="left"/>
      <w:pPr>
        <w:tabs>
          <w:tab w:val="num" w:pos="5760"/>
        </w:tabs>
        <w:ind w:left="5760" w:hanging="360"/>
      </w:pPr>
      <w:rPr>
        <w:rFonts w:ascii="Arial" w:hAnsi="Arial" w:hint="default"/>
      </w:rPr>
    </w:lvl>
    <w:lvl w:ilvl="8" w:tplc="4D38ACB4" w:tentative="1">
      <w:start w:val="1"/>
      <w:numFmt w:val="bullet"/>
      <w:lvlText w:val="•"/>
      <w:lvlJc w:val="left"/>
      <w:pPr>
        <w:tabs>
          <w:tab w:val="num" w:pos="6480"/>
        </w:tabs>
        <w:ind w:left="6480" w:hanging="360"/>
      </w:pPr>
      <w:rPr>
        <w:rFonts w:ascii="Arial" w:hAnsi="Arial" w:hint="default"/>
      </w:rPr>
    </w:lvl>
  </w:abstractNum>
  <w:abstractNum w:abstractNumId="1">
    <w:nsid w:val="185E7D88"/>
    <w:multiLevelType w:val="hybridMultilevel"/>
    <w:tmpl w:val="38685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E937EA9"/>
    <w:multiLevelType w:val="hybridMultilevel"/>
    <w:tmpl w:val="E49024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58F78A6"/>
    <w:multiLevelType w:val="hybridMultilevel"/>
    <w:tmpl w:val="C84450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F8628AD"/>
    <w:multiLevelType w:val="hybridMultilevel"/>
    <w:tmpl w:val="5CDE0F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90"/>
    <w:rsid w:val="00000184"/>
    <w:rsid w:val="0000431F"/>
    <w:rsid w:val="0001763A"/>
    <w:rsid w:val="00063472"/>
    <w:rsid w:val="00067837"/>
    <w:rsid w:val="00072851"/>
    <w:rsid w:val="0007306D"/>
    <w:rsid w:val="000758C3"/>
    <w:rsid w:val="00075C9F"/>
    <w:rsid w:val="0009449F"/>
    <w:rsid w:val="000B05C7"/>
    <w:rsid w:val="000B25F1"/>
    <w:rsid w:val="000B7A5A"/>
    <w:rsid w:val="000B7AD1"/>
    <w:rsid w:val="000D0CCC"/>
    <w:rsid w:val="000D646F"/>
    <w:rsid w:val="000E22C7"/>
    <w:rsid w:val="000E2C07"/>
    <w:rsid w:val="000E5260"/>
    <w:rsid w:val="000E6FEB"/>
    <w:rsid w:val="001172B6"/>
    <w:rsid w:val="00137C84"/>
    <w:rsid w:val="00146D4B"/>
    <w:rsid w:val="00152BC0"/>
    <w:rsid w:val="001630F6"/>
    <w:rsid w:val="00184640"/>
    <w:rsid w:val="001A1CAF"/>
    <w:rsid w:val="001A529A"/>
    <w:rsid w:val="001A5B51"/>
    <w:rsid w:val="001B05E8"/>
    <w:rsid w:val="001B4FAF"/>
    <w:rsid w:val="001C68EE"/>
    <w:rsid w:val="001D0C6E"/>
    <w:rsid w:val="001D7663"/>
    <w:rsid w:val="001E0856"/>
    <w:rsid w:val="001E0C1F"/>
    <w:rsid w:val="001F2E5B"/>
    <w:rsid w:val="001F61BB"/>
    <w:rsid w:val="0020302D"/>
    <w:rsid w:val="0021375E"/>
    <w:rsid w:val="002246DD"/>
    <w:rsid w:val="0022796F"/>
    <w:rsid w:val="00233D0F"/>
    <w:rsid w:val="00255CAD"/>
    <w:rsid w:val="00256514"/>
    <w:rsid w:val="002741AC"/>
    <w:rsid w:val="00291DB8"/>
    <w:rsid w:val="002A039B"/>
    <w:rsid w:val="002A27B5"/>
    <w:rsid w:val="002D0F24"/>
    <w:rsid w:val="002E0371"/>
    <w:rsid w:val="002E4F42"/>
    <w:rsid w:val="00302D1C"/>
    <w:rsid w:val="00330345"/>
    <w:rsid w:val="003771A4"/>
    <w:rsid w:val="00381D99"/>
    <w:rsid w:val="003A189C"/>
    <w:rsid w:val="003A30A2"/>
    <w:rsid w:val="003F48C6"/>
    <w:rsid w:val="00417ACE"/>
    <w:rsid w:val="00467A66"/>
    <w:rsid w:val="00480770"/>
    <w:rsid w:val="00484DC7"/>
    <w:rsid w:val="004A3B15"/>
    <w:rsid w:val="004A55CF"/>
    <w:rsid w:val="004A749A"/>
    <w:rsid w:val="004B1C25"/>
    <w:rsid w:val="004B67C9"/>
    <w:rsid w:val="004C0920"/>
    <w:rsid w:val="004D1AC9"/>
    <w:rsid w:val="004D2169"/>
    <w:rsid w:val="004F09D3"/>
    <w:rsid w:val="005063D7"/>
    <w:rsid w:val="00506F8E"/>
    <w:rsid w:val="00515FA2"/>
    <w:rsid w:val="005353DA"/>
    <w:rsid w:val="00537D7F"/>
    <w:rsid w:val="00586861"/>
    <w:rsid w:val="005921CD"/>
    <w:rsid w:val="005A10C9"/>
    <w:rsid w:val="005A47C2"/>
    <w:rsid w:val="005A743F"/>
    <w:rsid w:val="005B626D"/>
    <w:rsid w:val="005C1A4D"/>
    <w:rsid w:val="005C7EEE"/>
    <w:rsid w:val="005D2BA7"/>
    <w:rsid w:val="005D4F47"/>
    <w:rsid w:val="005E7783"/>
    <w:rsid w:val="005F0513"/>
    <w:rsid w:val="005F23C4"/>
    <w:rsid w:val="005F7761"/>
    <w:rsid w:val="006030B9"/>
    <w:rsid w:val="00632428"/>
    <w:rsid w:val="006539F7"/>
    <w:rsid w:val="006610A8"/>
    <w:rsid w:val="006706FB"/>
    <w:rsid w:val="006754AC"/>
    <w:rsid w:val="0067748E"/>
    <w:rsid w:val="00683BCB"/>
    <w:rsid w:val="006873B2"/>
    <w:rsid w:val="006A3CD2"/>
    <w:rsid w:val="006C112C"/>
    <w:rsid w:val="006D0E55"/>
    <w:rsid w:val="006D145D"/>
    <w:rsid w:val="006D2871"/>
    <w:rsid w:val="006E1D87"/>
    <w:rsid w:val="006E2190"/>
    <w:rsid w:val="007117CF"/>
    <w:rsid w:val="007166DD"/>
    <w:rsid w:val="007361EE"/>
    <w:rsid w:val="007427AC"/>
    <w:rsid w:val="00760322"/>
    <w:rsid w:val="0077406D"/>
    <w:rsid w:val="00781E7D"/>
    <w:rsid w:val="007A1A64"/>
    <w:rsid w:val="007B18F1"/>
    <w:rsid w:val="007C28ED"/>
    <w:rsid w:val="007D2C96"/>
    <w:rsid w:val="007D4B63"/>
    <w:rsid w:val="007E1046"/>
    <w:rsid w:val="007E71A4"/>
    <w:rsid w:val="007F0A26"/>
    <w:rsid w:val="008062F0"/>
    <w:rsid w:val="008070D9"/>
    <w:rsid w:val="008071AE"/>
    <w:rsid w:val="00807DF4"/>
    <w:rsid w:val="008265F8"/>
    <w:rsid w:val="008317F8"/>
    <w:rsid w:val="00832B56"/>
    <w:rsid w:val="008406CB"/>
    <w:rsid w:val="00842F21"/>
    <w:rsid w:val="00847552"/>
    <w:rsid w:val="00891BE1"/>
    <w:rsid w:val="00892E2D"/>
    <w:rsid w:val="008A5443"/>
    <w:rsid w:val="008D3B8B"/>
    <w:rsid w:val="008D713C"/>
    <w:rsid w:val="00901524"/>
    <w:rsid w:val="009267B3"/>
    <w:rsid w:val="0094481B"/>
    <w:rsid w:val="00946A37"/>
    <w:rsid w:val="009533E2"/>
    <w:rsid w:val="0097440A"/>
    <w:rsid w:val="00977394"/>
    <w:rsid w:val="00981A1A"/>
    <w:rsid w:val="009943CF"/>
    <w:rsid w:val="009C6759"/>
    <w:rsid w:val="009D5175"/>
    <w:rsid w:val="009E50B7"/>
    <w:rsid w:val="009F42AA"/>
    <w:rsid w:val="00A23274"/>
    <w:rsid w:val="00A34667"/>
    <w:rsid w:val="00A46589"/>
    <w:rsid w:val="00A60F47"/>
    <w:rsid w:val="00A6457A"/>
    <w:rsid w:val="00A761DD"/>
    <w:rsid w:val="00A86C95"/>
    <w:rsid w:val="00A90475"/>
    <w:rsid w:val="00AC65E0"/>
    <w:rsid w:val="00AF3D88"/>
    <w:rsid w:val="00B06CD2"/>
    <w:rsid w:val="00B07FC2"/>
    <w:rsid w:val="00B15A97"/>
    <w:rsid w:val="00B205CD"/>
    <w:rsid w:val="00B20EAC"/>
    <w:rsid w:val="00B21A77"/>
    <w:rsid w:val="00B2281E"/>
    <w:rsid w:val="00B314E1"/>
    <w:rsid w:val="00B402A6"/>
    <w:rsid w:val="00B5228B"/>
    <w:rsid w:val="00B54DA2"/>
    <w:rsid w:val="00B66965"/>
    <w:rsid w:val="00B95E3A"/>
    <w:rsid w:val="00B97503"/>
    <w:rsid w:val="00BC6497"/>
    <w:rsid w:val="00BF5522"/>
    <w:rsid w:val="00C016E7"/>
    <w:rsid w:val="00C01E4A"/>
    <w:rsid w:val="00C06507"/>
    <w:rsid w:val="00C078B8"/>
    <w:rsid w:val="00C2675E"/>
    <w:rsid w:val="00C97FA5"/>
    <w:rsid w:val="00CA19FA"/>
    <w:rsid w:val="00CA1B1B"/>
    <w:rsid w:val="00CB2977"/>
    <w:rsid w:val="00CB2B16"/>
    <w:rsid w:val="00CB3B90"/>
    <w:rsid w:val="00CC7ED0"/>
    <w:rsid w:val="00CD6257"/>
    <w:rsid w:val="00CE06AD"/>
    <w:rsid w:val="00CE52CA"/>
    <w:rsid w:val="00CE55B9"/>
    <w:rsid w:val="00D01661"/>
    <w:rsid w:val="00D0442C"/>
    <w:rsid w:val="00D1268B"/>
    <w:rsid w:val="00D15D2A"/>
    <w:rsid w:val="00D32E55"/>
    <w:rsid w:val="00D34D29"/>
    <w:rsid w:val="00D52551"/>
    <w:rsid w:val="00D52BD4"/>
    <w:rsid w:val="00D6070E"/>
    <w:rsid w:val="00DB59F3"/>
    <w:rsid w:val="00DB70C6"/>
    <w:rsid w:val="00DC0284"/>
    <w:rsid w:val="00DC6B51"/>
    <w:rsid w:val="00DD3162"/>
    <w:rsid w:val="00DE6EBA"/>
    <w:rsid w:val="00E00510"/>
    <w:rsid w:val="00E00F8C"/>
    <w:rsid w:val="00E22E98"/>
    <w:rsid w:val="00E343CF"/>
    <w:rsid w:val="00E35053"/>
    <w:rsid w:val="00E44A08"/>
    <w:rsid w:val="00E47778"/>
    <w:rsid w:val="00E50F00"/>
    <w:rsid w:val="00E5327B"/>
    <w:rsid w:val="00E746FB"/>
    <w:rsid w:val="00E828ED"/>
    <w:rsid w:val="00E82EF0"/>
    <w:rsid w:val="00E96BBC"/>
    <w:rsid w:val="00EA4084"/>
    <w:rsid w:val="00EA7CA7"/>
    <w:rsid w:val="00EB6C3E"/>
    <w:rsid w:val="00EB7797"/>
    <w:rsid w:val="00EC35E4"/>
    <w:rsid w:val="00ED6F79"/>
    <w:rsid w:val="00EE3E2B"/>
    <w:rsid w:val="00EF302A"/>
    <w:rsid w:val="00EF4059"/>
    <w:rsid w:val="00F04774"/>
    <w:rsid w:val="00F05326"/>
    <w:rsid w:val="00F07C4C"/>
    <w:rsid w:val="00F12CD2"/>
    <w:rsid w:val="00F46196"/>
    <w:rsid w:val="00F4722E"/>
    <w:rsid w:val="00F476BA"/>
    <w:rsid w:val="00F5079B"/>
    <w:rsid w:val="00F5091B"/>
    <w:rsid w:val="00F55EC0"/>
    <w:rsid w:val="00F71683"/>
    <w:rsid w:val="00F7441C"/>
    <w:rsid w:val="00F74FCD"/>
    <w:rsid w:val="00F9085A"/>
    <w:rsid w:val="00F950E0"/>
    <w:rsid w:val="00FA2DA8"/>
    <w:rsid w:val="00FB4A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75"/>
  </w:style>
  <w:style w:type="paragraph" w:styleId="Ttulo6">
    <w:name w:val="heading 6"/>
    <w:basedOn w:val="Normal"/>
    <w:next w:val="Normal"/>
    <w:link w:val="Ttulo6Car"/>
    <w:qFormat/>
    <w:rsid w:val="00467A66"/>
    <w:pPr>
      <w:keepNext/>
      <w:tabs>
        <w:tab w:val="left" w:pos="8820"/>
      </w:tabs>
      <w:spacing w:after="0"/>
      <w:ind w:right="18"/>
      <w:jc w:val="both"/>
      <w:outlineLvl w:val="5"/>
    </w:pPr>
    <w:rPr>
      <w:rFonts w:ascii="Arial" w:eastAsia="Times New Roman" w:hAnsi="Arial" w:cs="Times New Roman"/>
      <w:b/>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3B90"/>
    <w:pPr>
      <w:tabs>
        <w:tab w:val="center" w:pos="4419"/>
        <w:tab w:val="right" w:pos="8838"/>
      </w:tabs>
      <w:spacing w:after="0"/>
    </w:pPr>
  </w:style>
  <w:style w:type="character" w:customStyle="1" w:styleId="EncabezadoCar">
    <w:name w:val="Encabezado Car"/>
    <w:basedOn w:val="Fuentedeprrafopredeter"/>
    <w:link w:val="Encabezado"/>
    <w:rsid w:val="00CB3B90"/>
  </w:style>
  <w:style w:type="paragraph" w:styleId="Piedepgina">
    <w:name w:val="footer"/>
    <w:basedOn w:val="Normal"/>
    <w:link w:val="PiedepginaCar"/>
    <w:unhideWhenUsed/>
    <w:rsid w:val="00CB3B90"/>
    <w:pPr>
      <w:tabs>
        <w:tab w:val="center" w:pos="4419"/>
        <w:tab w:val="right" w:pos="8838"/>
      </w:tabs>
      <w:spacing w:after="0"/>
    </w:pPr>
  </w:style>
  <w:style w:type="character" w:customStyle="1" w:styleId="PiedepginaCar">
    <w:name w:val="Pie de página Car"/>
    <w:basedOn w:val="Fuentedeprrafopredeter"/>
    <w:link w:val="Piedepgina"/>
    <w:rsid w:val="00CB3B90"/>
  </w:style>
  <w:style w:type="paragraph" w:styleId="Textodeglobo">
    <w:name w:val="Balloon Text"/>
    <w:basedOn w:val="Normal"/>
    <w:link w:val="TextodegloboCar"/>
    <w:uiPriority w:val="99"/>
    <w:semiHidden/>
    <w:unhideWhenUsed/>
    <w:rsid w:val="00CB3B9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B90"/>
    <w:rPr>
      <w:rFonts w:ascii="Tahoma" w:hAnsi="Tahoma" w:cs="Tahoma"/>
      <w:sz w:val="16"/>
      <w:szCs w:val="16"/>
    </w:rPr>
  </w:style>
  <w:style w:type="paragraph" w:styleId="Textonotaalfinal">
    <w:name w:val="endnote text"/>
    <w:basedOn w:val="Normal"/>
    <w:link w:val="TextonotaalfinalCar"/>
    <w:semiHidden/>
    <w:rsid w:val="00CB3B90"/>
    <w:pPr>
      <w:spacing w:after="0"/>
    </w:pPr>
    <w:rPr>
      <w:rFonts w:ascii="Times" w:eastAsia="Times" w:hAnsi="Times" w:cs="Times New Roman"/>
      <w:sz w:val="24"/>
      <w:szCs w:val="20"/>
      <w:lang w:val="es-ES_tradnl" w:eastAsia="es-ES"/>
    </w:rPr>
  </w:style>
  <w:style w:type="character" w:customStyle="1" w:styleId="TextonotaalfinalCar">
    <w:name w:val="Texto nota al final Car"/>
    <w:basedOn w:val="Fuentedeprrafopredeter"/>
    <w:link w:val="Textonotaalfinal"/>
    <w:semiHidden/>
    <w:rsid w:val="00CB3B90"/>
    <w:rPr>
      <w:rFonts w:ascii="Times" w:eastAsia="Times" w:hAnsi="Times" w:cs="Times New Roman"/>
      <w:sz w:val="24"/>
      <w:szCs w:val="20"/>
      <w:lang w:val="es-ES_tradnl" w:eastAsia="es-ES"/>
    </w:rPr>
  </w:style>
  <w:style w:type="character" w:customStyle="1" w:styleId="Ttulo6Car">
    <w:name w:val="Título 6 Car"/>
    <w:basedOn w:val="Fuentedeprrafopredeter"/>
    <w:link w:val="Ttulo6"/>
    <w:rsid w:val="00467A66"/>
    <w:rPr>
      <w:rFonts w:ascii="Arial" w:eastAsia="Times New Roman" w:hAnsi="Arial" w:cs="Times New Roman"/>
      <w:b/>
      <w:sz w:val="28"/>
      <w:szCs w:val="24"/>
      <w:lang w:val="es-ES" w:eastAsia="es-ES"/>
    </w:rPr>
  </w:style>
  <w:style w:type="paragraph" w:styleId="Textoindependiente">
    <w:name w:val="Body Text"/>
    <w:basedOn w:val="Normal"/>
    <w:link w:val="TextoindependienteCar"/>
    <w:rsid w:val="00467A66"/>
    <w:pPr>
      <w:spacing w:after="0"/>
      <w:ind w:right="-316"/>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467A66"/>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467A66"/>
    <w:pPr>
      <w:spacing w:after="0"/>
      <w:ind w:right="-316" w:firstLine="540"/>
      <w:jc w:val="both"/>
    </w:pPr>
    <w:rPr>
      <w:rFonts w:ascii="Arial" w:eastAsia="Times New Roman" w:hAnsi="Arial" w:cs="Times New Roman"/>
      <w:b/>
      <w:bCs/>
      <w:i/>
      <w:iCs/>
      <w:sz w:val="24"/>
      <w:szCs w:val="24"/>
      <w:lang w:val="es-ES" w:eastAsia="es-ES"/>
    </w:rPr>
  </w:style>
  <w:style w:type="character" w:customStyle="1" w:styleId="SangradetextonormalCar">
    <w:name w:val="Sangría de texto normal Car"/>
    <w:basedOn w:val="Fuentedeprrafopredeter"/>
    <w:link w:val="Sangradetextonormal"/>
    <w:rsid w:val="00467A66"/>
    <w:rPr>
      <w:rFonts w:ascii="Arial" w:eastAsia="Times New Roman" w:hAnsi="Arial" w:cs="Times New Roman"/>
      <w:b/>
      <w:bCs/>
      <w:i/>
      <w:iCs/>
      <w:sz w:val="24"/>
      <w:szCs w:val="24"/>
      <w:lang w:val="es-ES" w:eastAsia="es-ES"/>
    </w:rPr>
  </w:style>
  <w:style w:type="paragraph" w:styleId="Prrafodelista">
    <w:name w:val="List Paragraph"/>
    <w:basedOn w:val="Normal"/>
    <w:uiPriority w:val="34"/>
    <w:qFormat/>
    <w:rsid w:val="00467A66"/>
    <w:pPr>
      <w:spacing w:after="0"/>
      <w:ind w:left="720"/>
      <w:contextualSpacing/>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96BBC"/>
  </w:style>
  <w:style w:type="paragraph" w:styleId="Sinespaciado">
    <w:name w:val="No Spacing"/>
    <w:uiPriority w:val="1"/>
    <w:qFormat/>
    <w:rsid w:val="00B402A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75"/>
  </w:style>
  <w:style w:type="paragraph" w:styleId="Ttulo6">
    <w:name w:val="heading 6"/>
    <w:basedOn w:val="Normal"/>
    <w:next w:val="Normal"/>
    <w:link w:val="Ttulo6Car"/>
    <w:qFormat/>
    <w:rsid w:val="00467A66"/>
    <w:pPr>
      <w:keepNext/>
      <w:tabs>
        <w:tab w:val="left" w:pos="8820"/>
      </w:tabs>
      <w:spacing w:after="0"/>
      <w:ind w:right="18"/>
      <w:jc w:val="both"/>
      <w:outlineLvl w:val="5"/>
    </w:pPr>
    <w:rPr>
      <w:rFonts w:ascii="Arial" w:eastAsia="Times New Roman" w:hAnsi="Arial" w:cs="Times New Roman"/>
      <w:b/>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3B90"/>
    <w:pPr>
      <w:tabs>
        <w:tab w:val="center" w:pos="4419"/>
        <w:tab w:val="right" w:pos="8838"/>
      </w:tabs>
      <w:spacing w:after="0"/>
    </w:pPr>
  </w:style>
  <w:style w:type="character" w:customStyle="1" w:styleId="EncabezadoCar">
    <w:name w:val="Encabezado Car"/>
    <w:basedOn w:val="Fuentedeprrafopredeter"/>
    <w:link w:val="Encabezado"/>
    <w:rsid w:val="00CB3B90"/>
  </w:style>
  <w:style w:type="paragraph" w:styleId="Piedepgina">
    <w:name w:val="footer"/>
    <w:basedOn w:val="Normal"/>
    <w:link w:val="PiedepginaCar"/>
    <w:unhideWhenUsed/>
    <w:rsid w:val="00CB3B90"/>
    <w:pPr>
      <w:tabs>
        <w:tab w:val="center" w:pos="4419"/>
        <w:tab w:val="right" w:pos="8838"/>
      </w:tabs>
      <w:spacing w:after="0"/>
    </w:pPr>
  </w:style>
  <w:style w:type="character" w:customStyle="1" w:styleId="PiedepginaCar">
    <w:name w:val="Pie de página Car"/>
    <w:basedOn w:val="Fuentedeprrafopredeter"/>
    <w:link w:val="Piedepgina"/>
    <w:rsid w:val="00CB3B90"/>
  </w:style>
  <w:style w:type="paragraph" w:styleId="Textodeglobo">
    <w:name w:val="Balloon Text"/>
    <w:basedOn w:val="Normal"/>
    <w:link w:val="TextodegloboCar"/>
    <w:uiPriority w:val="99"/>
    <w:semiHidden/>
    <w:unhideWhenUsed/>
    <w:rsid w:val="00CB3B9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B90"/>
    <w:rPr>
      <w:rFonts w:ascii="Tahoma" w:hAnsi="Tahoma" w:cs="Tahoma"/>
      <w:sz w:val="16"/>
      <w:szCs w:val="16"/>
    </w:rPr>
  </w:style>
  <w:style w:type="paragraph" w:styleId="Textonotaalfinal">
    <w:name w:val="endnote text"/>
    <w:basedOn w:val="Normal"/>
    <w:link w:val="TextonotaalfinalCar"/>
    <w:semiHidden/>
    <w:rsid w:val="00CB3B90"/>
    <w:pPr>
      <w:spacing w:after="0"/>
    </w:pPr>
    <w:rPr>
      <w:rFonts w:ascii="Times" w:eastAsia="Times" w:hAnsi="Times" w:cs="Times New Roman"/>
      <w:sz w:val="24"/>
      <w:szCs w:val="20"/>
      <w:lang w:val="es-ES_tradnl" w:eastAsia="es-ES"/>
    </w:rPr>
  </w:style>
  <w:style w:type="character" w:customStyle="1" w:styleId="TextonotaalfinalCar">
    <w:name w:val="Texto nota al final Car"/>
    <w:basedOn w:val="Fuentedeprrafopredeter"/>
    <w:link w:val="Textonotaalfinal"/>
    <w:semiHidden/>
    <w:rsid w:val="00CB3B90"/>
    <w:rPr>
      <w:rFonts w:ascii="Times" w:eastAsia="Times" w:hAnsi="Times" w:cs="Times New Roman"/>
      <w:sz w:val="24"/>
      <w:szCs w:val="20"/>
      <w:lang w:val="es-ES_tradnl" w:eastAsia="es-ES"/>
    </w:rPr>
  </w:style>
  <w:style w:type="character" w:customStyle="1" w:styleId="Ttulo6Car">
    <w:name w:val="Título 6 Car"/>
    <w:basedOn w:val="Fuentedeprrafopredeter"/>
    <w:link w:val="Ttulo6"/>
    <w:rsid w:val="00467A66"/>
    <w:rPr>
      <w:rFonts w:ascii="Arial" w:eastAsia="Times New Roman" w:hAnsi="Arial" w:cs="Times New Roman"/>
      <w:b/>
      <w:sz w:val="28"/>
      <w:szCs w:val="24"/>
      <w:lang w:val="es-ES" w:eastAsia="es-ES"/>
    </w:rPr>
  </w:style>
  <w:style w:type="paragraph" w:styleId="Textoindependiente">
    <w:name w:val="Body Text"/>
    <w:basedOn w:val="Normal"/>
    <w:link w:val="TextoindependienteCar"/>
    <w:rsid w:val="00467A66"/>
    <w:pPr>
      <w:spacing w:after="0"/>
      <w:ind w:right="-316"/>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467A66"/>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467A66"/>
    <w:pPr>
      <w:spacing w:after="0"/>
      <w:ind w:right="-316" w:firstLine="540"/>
      <w:jc w:val="both"/>
    </w:pPr>
    <w:rPr>
      <w:rFonts w:ascii="Arial" w:eastAsia="Times New Roman" w:hAnsi="Arial" w:cs="Times New Roman"/>
      <w:b/>
      <w:bCs/>
      <w:i/>
      <w:iCs/>
      <w:sz w:val="24"/>
      <w:szCs w:val="24"/>
      <w:lang w:val="es-ES" w:eastAsia="es-ES"/>
    </w:rPr>
  </w:style>
  <w:style w:type="character" w:customStyle="1" w:styleId="SangradetextonormalCar">
    <w:name w:val="Sangría de texto normal Car"/>
    <w:basedOn w:val="Fuentedeprrafopredeter"/>
    <w:link w:val="Sangradetextonormal"/>
    <w:rsid w:val="00467A66"/>
    <w:rPr>
      <w:rFonts w:ascii="Arial" w:eastAsia="Times New Roman" w:hAnsi="Arial" w:cs="Times New Roman"/>
      <w:b/>
      <w:bCs/>
      <w:i/>
      <w:iCs/>
      <w:sz w:val="24"/>
      <w:szCs w:val="24"/>
      <w:lang w:val="es-ES" w:eastAsia="es-ES"/>
    </w:rPr>
  </w:style>
  <w:style w:type="paragraph" w:styleId="Prrafodelista">
    <w:name w:val="List Paragraph"/>
    <w:basedOn w:val="Normal"/>
    <w:uiPriority w:val="34"/>
    <w:qFormat/>
    <w:rsid w:val="00467A66"/>
    <w:pPr>
      <w:spacing w:after="0"/>
      <w:ind w:left="720"/>
      <w:contextualSpacing/>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96BBC"/>
  </w:style>
  <w:style w:type="paragraph" w:styleId="Sinespaciado">
    <w:name w:val="No Spacing"/>
    <w:uiPriority w:val="1"/>
    <w:qFormat/>
    <w:rsid w:val="00B402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2186">
      <w:bodyDiv w:val="1"/>
      <w:marLeft w:val="0"/>
      <w:marRight w:val="0"/>
      <w:marTop w:val="0"/>
      <w:marBottom w:val="0"/>
      <w:divBdr>
        <w:top w:val="none" w:sz="0" w:space="0" w:color="auto"/>
        <w:left w:val="none" w:sz="0" w:space="0" w:color="auto"/>
        <w:bottom w:val="none" w:sz="0" w:space="0" w:color="auto"/>
        <w:right w:val="none" w:sz="0" w:space="0" w:color="auto"/>
      </w:divBdr>
    </w:div>
    <w:div w:id="317810880">
      <w:bodyDiv w:val="1"/>
      <w:marLeft w:val="0"/>
      <w:marRight w:val="0"/>
      <w:marTop w:val="0"/>
      <w:marBottom w:val="0"/>
      <w:divBdr>
        <w:top w:val="none" w:sz="0" w:space="0" w:color="auto"/>
        <w:left w:val="none" w:sz="0" w:space="0" w:color="auto"/>
        <w:bottom w:val="none" w:sz="0" w:space="0" w:color="auto"/>
        <w:right w:val="none" w:sz="0" w:space="0" w:color="auto"/>
      </w:divBdr>
    </w:div>
    <w:div w:id="634532554">
      <w:bodyDiv w:val="1"/>
      <w:marLeft w:val="0"/>
      <w:marRight w:val="0"/>
      <w:marTop w:val="0"/>
      <w:marBottom w:val="0"/>
      <w:divBdr>
        <w:top w:val="none" w:sz="0" w:space="0" w:color="auto"/>
        <w:left w:val="none" w:sz="0" w:space="0" w:color="auto"/>
        <w:bottom w:val="none" w:sz="0" w:space="0" w:color="auto"/>
        <w:right w:val="none" w:sz="0" w:space="0" w:color="auto"/>
      </w:divBdr>
    </w:div>
    <w:div w:id="809639991">
      <w:bodyDiv w:val="1"/>
      <w:marLeft w:val="0"/>
      <w:marRight w:val="0"/>
      <w:marTop w:val="0"/>
      <w:marBottom w:val="0"/>
      <w:divBdr>
        <w:top w:val="none" w:sz="0" w:space="0" w:color="auto"/>
        <w:left w:val="none" w:sz="0" w:space="0" w:color="auto"/>
        <w:bottom w:val="none" w:sz="0" w:space="0" w:color="auto"/>
        <w:right w:val="none" w:sz="0" w:space="0" w:color="auto"/>
      </w:divBdr>
    </w:div>
    <w:div w:id="1416055837">
      <w:bodyDiv w:val="1"/>
      <w:marLeft w:val="0"/>
      <w:marRight w:val="0"/>
      <w:marTop w:val="0"/>
      <w:marBottom w:val="0"/>
      <w:divBdr>
        <w:top w:val="none" w:sz="0" w:space="0" w:color="auto"/>
        <w:left w:val="none" w:sz="0" w:space="0" w:color="auto"/>
        <w:bottom w:val="none" w:sz="0" w:space="0" w:color="auto"/>
        <w:right w:val="none" w:sz="0" w:space="0" w:color="auto"/>
      </w:divBdr>
    </w:div>
    <w:div w:id="1527019234">
      <w:bodyDiv w:val="1"/>
      <w:marLeft w:val="0"/>
      <w:marRight w:val="0"/>
      <w:marTop w:val="0"/>
      <w:marBottom w:val="0"/>
      <w:divBdr>
        <w:top w:val="none" w:sz="0" w:space="0" w:color="auto"/>
        <w:left w:val="none" w:sz="0" w:space="0" w:color="auto"/>
        <w:bottom w:val="none" w:sz="0" w:space="0" w:color="auto"/>
        <w:right w:val="none" w:sz="0" w:space="0" w:color="auto"/>
      </w:divBdr>
      <w:divsChild>
        <w:div w:id="613250922">
          <w:marLeft w:val="144"/>
          <w:marRight w:val="0"/>
          <w:marTop w:val="0"/>
          <w:marBottom w:val="0"/>
          <w:divBdr>
            <w:top w:val="none" w:sz="0" w:space="0" w:color="auto"/>
            <w:left w:val="none" w:sz="0" w:space="0" w:color="auto"/>
            <w:bottom w:val="none" w:sz="0" w:space="0" w:color="auto"/>
            <w:right w:val="none" w:sz="0" w:space="0" w:color="auto"/>
          </w:divBdr>
        </w:div>
      </w:divsChild>
    </w:div>
    <w:div w:id="15832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D1AD-1146-4068-95BE-72422E92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Corporación Nacional del Cobre</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Tolmo Pacheco Cecilia (Codelco-Casa Matriz)</dc:creator>
  <cp:lastModifiedBy>Mena Illanes Susana (Codelco-Casa Matriz)</cp:lastModifiedBy>
  <cp:revision>3</cp:revision>
  <cp:lastPrinted>2014-08-29T14:14:00Z</cp:lastPrinted>
  <dcterms:created xsi:type="dcterms:W3CDTF">2014-08-29T14:14:00Z</dcterms:created>
  <dcterms:modified xsi:type="dcterms:W3CDTF">2014-08-29T14:16:00Z</dcterms:modified>
</cp:coreProperties>
</file>